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58DCA3">
      <w:pPr>
        <w:pageBreakBefore w:val="0"/>
        <w:widowControl/>
        <w:kinsoku/>
        <w:wordWrap w:val="0"/>
        <w:overflowPunct/>
        <w:topLinePunct/>
        <w:autoSpaceDE/>
        <w:autoSpaceDN/>
        <w:bidi w:val="0"/>
        <w:rPr>
          <w:rFonts w:hint="eastAsia"/>
          <w:color w:val="auto"/>
          <w:spacing w:val="0"/>
          <w:lang w:val="en-US" w:eastAsia="zh-CN"/>
        </w:rPr>
      </w:pPr>
      <w:bookmarkStart w:id="0" w:name="_Toc3591"/>
    </w:p>
    <w:p w14:paraId="7C7C1066">
      <w:pPr>
        <w:keepNext w:val="0"/>
        <w:keepLines w:val="0"/>
        <w:pageBreakBefore w:val="0"/>
        <w:widowControl/>
        <w:kinsoku/>
        <w:wordWrap w:val="0"/>
        <w:overflowPunct/>
        <w:topLinePunct/>
        <w:autoSpaceDE/>
        <w:autoSpaceDN/>
        <w:bidi w:val="0"/>
        <w:adjustRightInd w:val="0"/>
        <w:snapToGrid w:val="0"/>
        <w:spacing w:line="480" w:lineRule="auto"/>
        <w:ind w:firstLine="0" w:firstLineChars="0"/>
        <w:jc w:val="center"/>
        <w:textAlignment w:val="baseline"/>
        <w:rPr>
          <w:rFonts w:hint="eastAsia" w:ascii="宋体" w:hAnsi="宋体" w:cs="宋体"/>
          <w:b/>
          <w:bCs/>
          <w:color w:val="auto"/>
          <w:sz w:val="56"/>
          <w:szCs w:val="56"/>
          <w:lang w:val="en-US" w:eastAsia="zh-CN"/>
        </w:rPr>
      </w:pPr>
      <w:r>
        <w:rPr>
          <w:rFonts w:hint="eastAsia" w:ascii="宋体" w:hAnsi="宋体" w:cs="宋体"/>
          <w:b/>
          <w:bCs/>
          <w:color w:val="auto"/>
          <w:sz w:val="56"/>
          <w:szCs w:val="56"/>
          <w:lang w:val="en-US" w:eastAsia="zh-CN"/>
        </w:rPr>
        <w:t>扬州华璟养老产业有限公司</w:t>
      </w:r>
    </w:p>
    <w:p w14:paraId="3DC069DA">
      <w:pPr>
        <w:keepNext w:val="0"/>
        <w:keepLines w:val="0"/>
        <w:pageBreakBefore w:val="0"/>
        <w:widowControl/>
        <w:kinsoku/>
        <w:wordWrap w:val="0"/>
        <w:overflowPunct/>
        <w:topLinePunct/>
        <w:autoSpaceDE/>
        <w:autoSpaceDN/>
        <w:bidi w:val="0"/>
        <w:adjustRightInd w:val="0"/>
        <w:snapToGrid w:val="0"/>
        <w:spacing w:line="480" w:lineRule="auto"/>
        <w:ind w:firstLine="0" w:firstLineChars="0"/>
        <w:jc w:val="center"/>
        <w:textAlignment w:val="baseline"/>
        <w:rPr>
          <w:rFonts w:hint="eastAsia" w:ascii="宋体" w:hAnsi="宋体" w:eastAsia="宋体" w:cs="宋体"/>
          <w:color w:val="auto"/>
          <w:spacing w:val="0"/>
          <w:lang w:val="en-US" w:eastAsia="zh-CN"/>
        </w:rPr>
      </w:pPr>
      <w:r>
        <w:rPr>
          <w:rFonts w:hint="eastAsia" w:ascii="宋体" w:hAnsi="宋体" w:cs="宋体"/>
          <w:b/>
          <w:bCs/>
          <w:color w:val="auto"/>
          <w:sz w:val="56"/>
          <w:szCs w:val="56"/>
          <w:lang w:val="en-US" w:eastAsia="zh-CN"/>
        </w:rPr>
        <w:t>GZ768地块康养项目</w:t>
      </w:r>
    </w:p>
    <w:p w14:paraId="51DAD560">
      <w:pPr>
        <w:pageBreakBefore w:val="0"/>
        <w:widowControl/>
        <w:kinsoku/>
        <w:wordWrap w:val="0"/>
        <w:overflowPunct/>
        <w:topLinePunct/>
        <w:autoSpaceDE/>
        <w:autoSpaceDN/>
        <w:bidi w:val="0"/>
        <w:rPr>
          <w:rFonts w:hint="eastAsia" w:ascii="宋体" w:hAnsi="宋体" w:eastAsia="宋体" w:cs="宋体"/>
          <w:color w:val="auto"/>
          <w:spacing w:val="0"/>
          <w:lang w:val="en-US" w:eastAsia="zh-CN"/>
        </w:rPr>
      </w:pPr>
    </w:p>
    <w:p w14:paraId="4483D552">
      <w:pPr>
        <w:pStyle w:val="10"/>
        <w:numPr>
          <w:ilvl w:val="0"/>
          <w:numId w:val="0"/>
        </w:numPr>
        <w:ind w:leftChars="200"/>
        <w:rPr>
          <w:rFonts w:hint="eastAsia"/>
          <w:color w:val="auto"/>
          <w:lang w:val="en-US" w:eastAsia="zh-CN"/>
        </w:rPr>
      </w:pPr>
    </w:p>
    <w:p w14:paraId="47FB4CDA">
      <w:pPr>
        <w:pStyle w:val="2"/>
        <w:keepNext/>
        <w:keepLines/>
        <w:pageBreakBefore w:val="0"/>
        <w:widowControl/>
        <w:kinsoku/>
        <w:wordWrap w:val="0"/>
        <w:overflowPunct/>
        <w:topLinePunct/>
        <w:autoSpaceDE/>
        <w:autoSpaceDN/>
        <w:bidi w:val="0"/>
        <w:adjustRightInd w:val="0"/>
        <w:snapToGrid w:val="0"/>
        <w:spacing w:line="1200" w:lineRule="exact"/>
        <w:jc w:val="center"/>
        <w:textAlignment w:val="baseline"/>
        <w:rPr>
          <w:rFonts w:hint="eastAsia" w:ascii="宋体" w:hAnsi="宋体" w:eastAsia="宋体" w:cs="宋体"/>
          <w:color w:val="auto"/>
          <w:spacing w:val="0"/>
          <w:sz w:val="52"/>
          <w:szCs w:val="24"/>
          <w:lang w:val="en-US" w:eastAsia="zh-CN"/>
        </w:rPr>
      </w:pPr>
      <w:bookmarkStart w:id="1" w:name="_Toc18094"/>
      <w:bookmarkStart w:id="2" w:name="_Toc679"/>
      <w:bookmarkStart w:id="3" w:name="_Toc5579"/>
      <w:bookmarkStart w:id="4" w:name="_Toc24511"/>
      <w:bookmarkStart w:id="5" w:name="_Toc22199"/>
      <w:bookmarkStart w:id="6" w:name="_Toc1672"/>
      <w:bookmarkStart w:id="7" w:name="_Toc14802"/>
      <w:bookmarkStart w:id="8" w:name="_Toc29302"/>
      <w:bookmarkStart w:id="9" w:name="_Toc25922"/>
      <w:bookmarkStart w:id="10" w:name="_Toc13520"/>
      <w:bookmarkStart w:id="11" w:name="_Toc29433"/>
      <w:bookmarkStart w:id="12" w:name="_Toc10281"/>
      <w:r>
        <w:rPr>
          <w:rFonts w:hint="eastAsia" w:ascii="宋体" w:hAnsi="宋体" w:eastAsia="宋体" w:cs="宋体"/>
          <w:color w:val="auto"/>
          <w:spacing w:val="0"/>
          <w:sz w:val="52"/>
          <w:szCs w:val="24"/>
          <w:lang w:val="en-US" w:eastAsia="zh-CN"/>
        </w:rPr>
        <w:t>可行性研究报告</w:t>
      </w:r>
      <w:bookmarkEnd w:id="1"/>
      <w:bookmarkEnd w:id="2"/>
      <w:bookmarkEnd w:id="3"/>
      <w:bookmarkEnd w:id="4"/>
      <w:bookmarkEnd w:id="5"/>
      <w:bookmarkEnd w:id="6"/>
      <w:bookmarkEnd w:id="7"/>
      <w:bookmarkEnd w:id="8"/>
      <w:bookmarkEnd w:id="9"/>
      <w:bookmarkEnd w:id="10"/>
      <w:bookmarkEnd w:id="11"/>
      <w:bookmarkEnd w:id="12"/>
    </w:p>
    <w:p w14:paraId="79B9F508">
      <w:pPr>
        <w:pageBreakBefore w:val="0"/>
        <w:widowControl/>
        <w:kinsoku/>
        <w:wordWrap w:val="0"/>
        <w:overflowPunct/>
        <w:topLinePunct/>
        <w:autoSpaceDE/>
        <w:autoSpaceDN/>
        <w:bidi w:val="0"/>
        <w:rPr>
          <w:rFonts w:hint="eastAsia" w:ascii="宋体" w:hAnsi="宋体" w:eastAsia="宋体" w:cs="宋体"/>
          <w:color w:val="auto"/>
          <w:spacing w:val="0"/>
          <w:sz w:val="44"/>
          <w:szCs w:val="44"/>
          <w:lang w:val="en-US" w:eastAsia="zh-CN"/>
        </w:rPr>
      </w:pPr>
    </w:p>
    <w:p w14:paraId="4ECE0CD4">
      <w:pPr>
        <w:pageBreakBefore w:val="0"/>
        <w:widowControl/>
        <w:kinsoku/>
        <w:wordWrap w:val="0"/>
        <w:overflowPunct/>
        <w:topLinePunct/>
        <w:autoSpaceDE/>
        <w:autoSpaceDN/>
        <w:bidi w:val="0"/>
        <w:rPr>
          <w:rFonts w:hint="eastAsia" w:ascii="宋体" w:hAnsi="宋体" w:eastAsia="宋体" w:cs="宋体"/>
          <w:color w:val="auto"/>
          <w:spacing w:val="0"/>
          <w:sz w:val="44"/>
          <w:szCs w:val="44"/>
          <w:lang w:val="en-US" w:eastAsia="zh-CN"/>
        </w:rPr>
      </w:pPr>
    </w:p>
    <w:p w14:paraId="0826183C">
      <w:pPr>
        <w:pageBreakBefore w:val="0"/>
        <w:widowControl/>
        <w:kinsoku/>
        <w:wordWrap w:val="0"/>
        <w:overflowPunct/>
        <w:topLinePunct/>
        <w:autoSpaceDE/>
        <w:autoSpaceDN/>
        <w:bidi w:val="0"/>
        <w:rPr>
          <w:rFonts w:hint="eastAsia" w:ascii="宋体" w:hAnsi="宋体" w:eastAsia="宋体" w:cs="宋体"/>
          <w:color w:val="auto"/>
          <w:spacing w:val="0"/>
          <w:sz w:val="44"/>
          <w:szCs w:val="44"/>
          <w:lang w:val="en-US" w:eastAsia="zh-CN"/>
        </w:rPr>
      </w:pPr>
    </w:p>
    <w:p w14:paraId="0E605F69">
      <w:pPr>
        <w:pageBreakBefore w:val="0"/>
        <w:widowControl/>
        <w:kinsoku/>
        <w:wordWrap w:val="0"/>
        <w:overflowPunct/>
        <w:topLinePunct/>
        <w:autoSpaceDE/>
        <w:autoSpaceDN/>
        <w:bidi w:val="0"/>
        <w:rPr>
          <w:rFonts w:hint="eastAsia" w:ascii="宋体" w:hAnsi="宋体" w:eastAsia="宋体" w:cs="宋体"/>
          <w:color w:val="auto"/>
          <w:spacing w:val="0"/>
          <w:sz w:val="44"/>
          <w:szCs w:val="44"/>
          <w:lang w:val="en-US" w:eastAsia="zh-CN"/>
        </w:rPr>
      </w:pPr>
    </w:p>
    <w:p w14:paraId="72856D39">
      <w:pPr>
        <w:pageBreakBefore w:val="0"/>
        <w:widowControl/>
        <w:kinsoku/>
        <w:wordWrap w:val="0"/>
        <w:overflowPunct/>
        <w:topLinePunct/>
        <w:autoSpaceDE/>
        <w:autoSpaceDN/>
        <w:bidi w:val="0"/>
        <w:rPr>
          <w:rFonts w:hint="eastAsia" w:ascii="宋体" w:hAnsi="宋体" w:eastAsia="宋体" w:cs="宋体"/>
          <w:color w:val="auto"/>
          <w:spacing w:val="0"/>
          <w:sz w:val="44"/>
          <w:szCs w:val="44"/>
          <w:lang w:val="en-US" w:eastAsia="zh-CN"/>
        </w:rPr>
      </w:pPr>
    </w:p>
    <w:p w14:paraId="1D690DA4">
      <w:pPr>
        <w:pageBreakBefore w:val="0"/>
        <w:widowControl/>
        <w:kinsoku/>
        <w:wordWrap w:val="0"/>
        <w:overflowPunct/>
        <w:topLinePunct/>
        <w:autoSpaceDE/>
        <w:autoSpaceDN/>
        <w:bidi w:val="0"/>
        <w:rPr>
          <w:rFonts w:hint="eastAsia" w:ascii="宋体" w:hAnsi="宋体" w:eastAsia="宋体" w:cs="宋体"/>
          <w:color w:val="auto"/>
          <w:spacing w:val="0"/>
          <w:sz w:val="44"/>
          <w:szCs w:val="44"/>
          <w:lang w:val="en-US" w:eastAsia="zh-CN"/>
        </w:rPr>
      </w:pPr>
    </w:p>
    <w:p w14:paraId="0651BA71">
      <w:pPr>
        <w:pageBreakBefore w:val="0"/>
        <w:widowControl/>
        <w:kinsoku/>
        <w:wordWrap w:val="0"/>
        <w:overflowPunct/>
        <w:topLinePunct/>
        <w:autoSpaceDE/>
        <w:autoSpaceDN/>
        <w:bidi w:val="0"/>
        <w:rPr>
          <w:rFonts w:hint="eastAsia" w:ascii="宋体" w:hAnsi="宋体" w:eastAsia="宋体" w:cs="宋体"/>
          <w:color w:val="auto"/>
          <w:spacing w:val="0"/>
          <w:sz w:val="44"/>
          <w:szCs w:val="44"/>
          <w:lang w:val="en-US" w:eastAsia="zh-CN"/>
        </w:rPr>
      </w:pPr>
    </w:p>
    <w:p w14:paraId="0B49065D">
      <w:pPr>
        <w:pageBreakBefore w:val="0"/>
        <w:widowControl/>
        <w:kinsoku/>
        <w:wordWrap w:val="0"/>
        <w:overflowPunct/>
        <w:topLinePunct/>
        <w:autoSpaceDE/>
        <w:autoSpaceDN/>
        <w:bidi w:val="0"/>
        <w:rPr>
          <w:rFonts w:hint="eastAsia" w:ascii="宋体" w:hAnsi="宋体" w:eastAsia="宋体" w:cs="宋体"/>
          <w:color w:val="auto"/>
          <w:spacing w:val="0"/>
          <w:sz w:val="44"/>
          <w:szCs w:val="44"/>
          <w:lang w:val="en-US" w:eastAsia="zh-CN"/>
        </w:rPr>
      </w:pPr>
    </w:p>
    <w:p w14:paraId="3A468C29">
      <w:pPr>
        <w:pageBreakBefore w:val="0"/>
        <w:widowControl/>
        <w:kinsoku/>
        <w:wordWrap w:val="0"/>
        <w:overflowPunct/>
        <w:topLinePunct/>
        <w:autoSpaceDE/>
        <w:autoSpaceDN/>
        <w:bidi w:val="0"/>
        <w:rPr>
          <w:rFonts w:hint="eastAsia" w:ascii="宋体" w:hAnsi="宋体" w:eastAsia="宋体" w:cs="宋体"/>
          <w:color w:val="auto"/>
          <w:spacing w:val="0"/>
          <w:sz w:val="44"/>
          <w:szCs w:val="44"/>
          <w:lang w:val="en-US" w:eastAsia="zh-CN"/>
        </w:rPr>
      </w:pPr>
    </w:p>
    <w:p w14:paraId="4C3FA28E">
      <w:pPr>
        <w:keepNext w:val="0"/>
        <w:keepLines w:val="0"/>
        <w:pageBreakBefore w:val="0"/>
        <w:widowControl/>
        <w:kinsoku/>
        <w:wordWrap w:val="0"/>
        <w:overflowPunct/>
        <w:topLinePunct/>
        <w:autoSpaceDE/>
        <w:autoSpaceDN/>
        <w:bidi w:val="0"/>
        <w:adjustRightInd w:val="0"/>
        <w:snapToGrid w:val="0"/>
        <w:spacing w:line="560" w:lineRule="exact"/>
        <w:ind w:firstLine="1124" w:firstLineChars="400"/>
        <w:jc w:val="both"/>
        <w:textAlignment w:val="baseline"/>
        <w:rPr>
          <w:rFonts w:hint="eastAsia" w:ascii="宋体" w:hAnsi="宋体" w:eastAsia="宋体" w:cs="宋体"/>
          <w:b/>
          <w:bCs/>
          <w:color w:val="auto"/>
          <w:spacing w:val="0"/>
          <w:sz w:val="28"/>
          <w:szCs w:val="28"/>
          <w:lang w:eastAsia="zh-CN"/>
        </w:rPr>
      </w:pPr>
      <w:r>
        <w:rPr>
          <w:rFonts w:hint="eastAsia" w:ascii="宋体" w:hAnsi="宋体" w:eastAsia="宋体" w:cs="宋体"/>
          <w:b/>
          <w:bCs/>
          <w:color w:val="auto"/>
          <w:spacing w:val="0"/>
          <w:sz w:val="28"/>
          <w:szCs w:val="28"/>
          <w:lang w:val="en-US" w:eastAsia="zh-CN"/>
        </w:rPr>
        <w:t>建设单位：</w:t>
      </w:r>
      <w:r>
        <w:rPr>
          <w:rFonts w:hint="eastAsia" w:ascii="宋体" w:hAnsi="宋体" w:cs="宋体"/>
          <w:b/>
          <w:bCs/>
          <w:color w:val="auto"/>
          <w:spacing w:val="0"/>
          <w:sz w:val="28"/>
          <w:szCs w:val="28"/>
          <w:lang w:eastAsia="zh-CN"/>
        </w:rPr>
        <w:t>扬州华璟养老产业有限公司</w:t>
      </w:r>
    </w:p>
    <w:p w14:paraId="4020B554">
      <w:pPr>
        <w:keepNext w:val="0"/>
        <w:keepLines w:val="0"/>
        <w:pageBreakBefore w:val="0"/>
        <w:widowControl/>
        <w:kinsoku/>
        <w:wordWrap w:val="0"/>
        <w:overflowPunct/>
        <w:topLinePunct/>
        <w:autoSpaceDE/>
        <w:autoSpaceDN/>
        <w:bidi w:val="0"/>
        <w:adjustRightInd w:val="0"/>
        <w:snapToGrid w:val="0"/>
        <w:spacing w:line="560" w:lineRule="exact"/>
        <w:ind w:firstLine="1124" w:firstLineChars="400"/>
        <w:jc w:val="both"/>
        <w:textAlignment w:val="baseline"/>
        <w:rPr>
          <w:rFonts w:hint="eastAsia" w:ascii="宋体" w:hAnsi="宋体" w:eastAsia="宋体" w:cs="宋体"/>
          <w:b/>
          <w:bCs/>
          <w:color w:val="auto"/>
          <w:spacing w:val="0"/>
          <w:sz w:val="28"/>
          <w:szCs w:val="28"/>
          <w:lang w:eastAsia="zh-CN"/>
        </w:rPr>
      </w:pPr>
      <w:r>
        <w:rPr>
          <w:rFonts w:hint="eastAsia" w:ascii="宋体" w:hAnsi="宋体" w:eastAsia="宋体" w:cs="宋体"/>
          <w:b/>
          <w:bCs/>
          <w:color w:val="auto"/>
          <w:spacing w:val="0"/>
          <w:sz w:val="28"/>
          <w:szCs w:val="28"/>
          <w:lang w:eastAsia="zh-CN"/>
        </w:rPr>
        <w:t>编制单位：扬州市建苑工程监理有限责任公司</w:t>
      </w:r>
    </w:p>
    <w:p w14:paraId="7C830E58">
      <w:pPr>
        <w:keepNext w:val="0"/>
        <w:keepLines w:val="0"/>
        <w:pageBreakBefore w:val="0"/>
        <w:widowControl/>
        <w:kinsoku/>
        <w:wordWrap w:val="0"/>
        <w:overflowPunct/>
        <w:topLinePunct/>
        <w:autoSpaceDE/>
        <w:autoSpaceDN/>
        <w:bidi w:val="0"/>
        <w:adjustRightInd w:val="0"/>
        <w:snapToGrid w:val="0"/>
        <w:spacing w:line="560" w:lineRule="exact"/>
        <w:ind w:firstLine="0" w:firstLineChars="0"/>
        <w:jc w:val="center"/>
        <w:textAlignment w:val="baseline"/>
        <w:rPr>
          <w:rFonts w:hint="eastAsia" w:ascii="宋体" w:hAnsi="宋体" w:eastAsia="宋体" w:cs="宋体"/>
          <w:b/>
          <w:bCs/>
          <w:color w:val="auto"/>
          <w:spacing w:val="0"/>
          <w:sz w:val="28"/>
          <w:szCs w:val="28"/>
          <w:lang w:eastAsia="zh-CN"/>
        </w:rPr>
      </w:pPr>
      <w:r>
        <w:rPr>
          <w:rFonts w:hint="eastAsia" w:ascii="宋体" w:hAnsi="宋体" w:eastAsia="宋体" w:cs="宋体"/>
          <w:b/>
          <w:bCs/>
          <w:color w:val="auto"/>
          <w:spacing w:val="0"/>
          <w:sz w:val="28"/>
          <w:szCs w:val="28"/>
          <w:lang w:eastAsia="zh-CN"/>
        </w:rPr>
        <w:t>二〇二</w:t>
      </w:r>
      <w:r>
        <w:rPr>
          <w:rFonts w:hint="eastAsia" w:ascii="宋体" w:hAnsi="宋体" w:cs="宋体"/>
          <w:b/>
          <w:bCs/>
          <w:color w:val="auto"/>
          <w:spacing w:val="0"/>
          <w:sz w:val="28"/>
          <w:szCs w:val="28"/>
          <w:lang w:eastAsia="zh-CN"/>
        </w:rPr>
        <w:t>五</w:t>
      </w:r>
      <w:r>
        <w:rPr>
          <w:rFonts w:hint="eastAsia" w:ascii="宋体" w:hAnsi="宋体" w:eastAsia="宋体" w:cs="宋体"/>
          <w:b/>
          <w:bCs/>
          <w:color w:val="auto"/>
          <w:spacing w:val="0"/>
          <w:sz w:val="28"/>
          <w:szCs w:val="28"/>
          <w:lang w:eastAsia="zh-CN"/>
        </w:rPr>
        <w:t>年</w:t>
      </w:r>
      <w:r>
        <w:rPr>
          <w:rFonts w:hint="eastAsia" w:ascii="宋体" w:hAnsi="宋体" w:cs="宋体"/>
          <w:b/>
          <w:bCs/>
          <w:color w:val="auto"/>
          <w:spacing w:val="0"/>
          <w:sz w:val="28"/>
          <w:szCs w:val="28"/>
          <w:lang w:eastAsia="zh-CN"/>
        </w:rPr>
        <w:t>十一</w:t>
      </w:r>
      <w:r>
        <w:rPr>
          <w:rFonts w:hint="eastAsia" w:ascii="宋体" w:hAnsi="宋体" w:eastAsia="宋体" w:cs="宋体"/>
          <w:b/>
          <w:bCs/>
          <w:color w:val="auto"/>
          <w:spacing w:val="0"/>
          <w:sz w:val="28"/>
          <w:szCs w:val="28"/>
          <w:lang w:eastAsia="zh-CN"/>
        </w:rPr>
        <w:t>月</w:t>
      </w:r>
    </w:p>
    <w:p w14:paraId="0DB1C8B3">
      <w:pPr>
        <w:keepNext w:val="0"/>
        <w:keepLines w:val="0"/>
        <w:pageBreakBefore w:val="0"/>
        <w:widowControl/>
        <w:kinsoku/>
        <w:wordWrap w:val="0"/>
        <w:overflowPunct/>
        <w:topLinePunct/>
        <w:autoSpaceDE/>
        <w:autoSpaceDN/>
        <w:bidi w:val="0"/>
        <w:adjustRightInd w:val="0"/>
        <w:snapToGrid w:val="0"/>
        <w:spacing w:line="560" w:lineRule="exact"/>
        <w:jc w:val="center"/>
        <w:textAlignment w:val="baseline"/>
        <w:rPr>
          <w:rFonts w:hint="default" w:ascii="宋体" w:hAnsi="宋体" w:eastAsia="宋体" w:cs="宋体"/>
          <w:b/>
          <w:bCs/>
          <w:color w:val="auto"/>
          <w:spacing w:val="0"/>
          <w:sz w:val="28"/>
          <w:szCs w:val="28"/>
          <w:lang w:val="en-US" w:eastAsia="zh-CN"/>
        </w:rPr>
        <w:sectPr>
          <w:pgSz w:w="11906" w:h="16839"/>
          <w:pgMar w:top="1440" w:right="1800" w:bottom="1440" w:left="1800" w:header="0" w:footer="0" w:gutter="0"/>
          <w:cols w:space="720" w:num="1"/>
        </w:sectPr>
      </w:pPr>
    </w:p>
    <w:bookmarkEnd w:id="0"/>
    <w:sdt>
      <w:sdtPr>
        <w:rPr>
          <w:rFonts w:ascii="宋体" w:hAnsi="宋体" w:eastAsia="宋体" w:cs="Arial"/>
          <w:snapToGrid w:val="0"/>
          <w:color w:val="000000"/>
          <w:kern w:val="0"/>
          <w:sz w:val="40"/>
          <w:szCs w:val="40"/>
        </w:rPr>
        <w:id w:val="147460090"/>
        <w15:color w:val="DBDBDB"/>
        <w:docPartObj>
          <w:docPartGallery w:val="Table of Contents"/>
          <w:docPartUnique/>
        </w:docPartObj>
      </w:sdtPr>
      <w:sdtEndPr>
        <w:rPr>
          <w:rFonts w:hint="eastAsia" w:ascii="Arial" w:hAnsi="Arial" w:eastAsia="宋体" w:cs="Arial"/>
          <w:snapToGrid w:val="0"/>
          <w:color w:val="auto"/>
          <w:kern w:val="0"/>
          <w:sz w:val="28"/>
          <w:szCs w:val="21"/>
          <w:lang w:val="en-US" w:eastAsia="zh-CN"/>
        </w:rPr>
      </w:sdtEndPr>
      <w:sdtContent>
        <w:p w14:paraId="276A9805">
          <w:pPr>
            <w:spacing w:before="0" w:beforeLines="0" w:after="0" w:afterLines="0" w:line="240" w:lineRule="auto"/>
            <w:ind w:left="0" w:leftChars="0" w:right="0" w:rightChars="0" w:firstLine="0" w:firstLineChars="0"/>
            <w:jc w:val="center"/>
            <w:rPr>
              <w:sz w:val="52"/>
              <w:szCs w:val="40"/>
            </w:rPr>
          </w:pPr>
          <w:r>
            <w:rPr>
              <w:rFonts w:ascii="宋体" w:hAnsi="宋体" w:eastAsia="宋体"/>
              <w:sz w:val="40"/>
              <w:szCs w:val="40"/>
            </w:rPr>
            <w:t>目录</w:t>
          </w:r>
        </w:p>
        <w:p w14:paraId="550D3E85">
          <w:pPr>
            <w:pStyle w:val="13"/>
            <w:tabs>
              <w:tab w:val="right" w:leader="dot" w:pos="8306"/>
            </w:tabs>
          </w:pPr>
          <w:r>
            <w:rPr>
              <w:rFonts w:hint="eastAsia" w:ascii="Arial" w:hAnsi="Arial" w:eastAsia="宋体" w:cs="Arial"/>
              <w:snapToGrid w:val="0"/>
              <w:color w:val="auto"/>
              <w:kern w:val="0"/>
              <w:sz w:val="28"/>
              <w:szCs w:val="21"/>
              <w:lang w:val="en-US" w:eastAsia="zh-CN"/>
            </w:rPr>
            <w:fldChar w:fldCharType="begin"/>
          </w:r>
          <w:r>
            <w:rPr>
              <w:rFonts w:hint="eastAsia" w:ascii="Arial" w:hAnsi="Arial" w:eastAsia="宋体" w:cs="Arial"/>
              <w:snapToGrid w:val="0"/>
              <w:color w:val="auto"/>
              <w:kern w:val="0"/>
              <w:sz w:val="28"/>
              <w:szCs w:val="21"/>
              <w:lang w:val="en-US" w:eastAsia="zh-CN"/>
            </w:rPr>
            <w:instrText xml:space="preserve">TOC \o "1-2" \h \u </w:instrText>
          </w:r>
          <w:r>
            <w:rPr>
              <w:rFonts w:hint="eastAsia" w:ascii="Arial" w:hAnsi="Arial" w:eastAsia="宋体" w:cs="Arial"/>
              <w:snapToGrid w:val="0"/>
              <w:color w:val="auto"/>
              <w:kern w:val="0"/>
              <w:sz w:val="28"/>
              <w:szCs w:val="21"/>
              <w:lang w:val="en-US" w:eastAsia="zh-CN"/>
            </w:rPr>
            <w:fldChar w:fldCharType="separate"/>
          </w:r>
          <w:r>
            <w:rPr>
              <w:rFonts w:hint="eastAsia" w:ascii="Arial" w:hAnsi="Arial" w:eastAsia="宋体" w:cs="Arial"/>
              <w:snapToGrid w:val="0"/>
              <w:color w:val="auto"/>
              <w:kern w:val="0"/>
              <w:szCs w:val="21"/>
              <w:lang w:val="en-US" w:eastAsia="zh-CN"/>
            </w:rPr>
            <w:fldChar w:fldCharType="begin"/>
          </w:r>
          <w:r>
            <w:rPr>
              <w:rFonts w:hint="eastAsia" w:ascii="Arial" w:hAnsi="Arial" w:eastAsia="宋体" w:cs="Arial"/>
              <w:snapToGrid w:val="0"/>
              <w:kern w:val="0"/>
              <w:szCs w:val="21"/>
              <w:lang w:val="en-US" w:eastAsia="zh-CN"/>
            </w:rPr>
            <w:instrText xml:space="preserve"> HYPERLINK \l _Toc10281 </w:instrText>
          </w:r>
          <w:r>
            <w:rPr>
              <w:rFonts w:hint="eastAsia" w:ascii="Arial" w:hAnsi="Arial" w:eastAsia="宋体" w:cs="Arial"/>
              <w:snapToGrid w:val="0"/>
              <w:kern w:val="0"/>
              <w:szCs w:val="21"/>
              <w:lang w:val="en-US" w:eastAsia="zh-CN"/>
            </w:rPr>
            <w:fldChar w:fldCharType="separate"/>
          </w:r>
          <w:r>
            <w:rPr>
              <w:rFonts w:hint="eastAsia" w:ascii="宋体" w:hAnsi="宋体" w:eastAsia="宋体" w:cs="宋体"/>
              <w:spacing w:val="0"/>
              <w:szCs w:val="24"/>
              <w:lang w:val="en-US" w:eastAsia="zh-CN"/>
            </w:rPr>
            <w:t>可行性研究报告</w:t>
          </w:r>
          <w:r>
            <w:tab/>
          </w:r>
          <w:r>
            <w:fldChar w:fldCharType="begin"/>
          </w:r>
          <w:r>
            <w:instrText xml:space="preserve"> PAGEREF _Toc10281 \h </w:instrText>
          </w:r>
          <w:r>
            <w:fldChar w:fldCharType="separate"/>
          </w:r>
          <w:r>
            <w:t>1</w:t>
          </w:r>
          <w:r>
            <w:fldChar w:fldCharType="end"/>
          </w:r>
          <w:r>
            <w:rPr>
              <w:rFonts w:hint="eastAsia" w:ascii="Arial" w:hAnsi="Arial" w:eastAsia="宋体" w:cs="Arial"/>
              <w:snapToGrid w:val="0"/>
              <w:color w:val="auto"/>
              <w:kern w:val="0"/>
              <w:szCs w:val="21"/>
              <w:lang w:val="en-US" w:eastAsia="zh-CN"/>
            </w:rPr>
            <w:fldChar w:fldCharType="end"/>
          </w:r>
        </w:p>
        <w:p w14:paraId="15A4B856">
          <w:pPr>
            <w:pStyle w:val="13"/>
            <w:tabs>
              <w:tab w:val="right" w:leader="dot" w:pos="8306"/>
            </w:tabs>
          </w:pPr>
          <w:r>
            <w:rPr>
              <w:rFonts w:hint="eastAsia" w:ascii="Arial" w:hAnsi="Arial" w:eastAsia="宋体" w:cs="Arial"/>
              <w:snapToGrid w:val="0"/>
              <w:color w:val="auto"/>
              <w:kern w:val="0"/>
              <w:szCs w:val="21"/>
              <w:lang w:val="en-US" w:eastAsia="zh-CN"/>
            </w:rPr>
            <w:fldChar w:fldCharType="begin"/>
          </w:r>
          <w:r>
            <w:rPr>
              <w:rFonts w:hint="eastAsia" w:ascii="Arial" w:hAnsi="Arial" w:eastAsia="宋体" w:cs="Arial"/>
              <w:snapToGrid w:val="0"/>
              <w:kern w:val="0"/>
              <w:szCs w:val="21"/>
              <w:lang w:val="en-US" w:eastAsia="zh-CN"/>
            </w:rPr>
            <w:instrText xml:space="preserve"> HYPERLINK \l _Toc5561 </w:instrText>
          </w:r>
          <w:r>
            <w:rPr>
              <w:rFonts w:hint="eastAsia" w:ascii="Arial" w:hAnsi="Arial" w:eastAsia="宋体" w:cs="Arial"/>
              <w:snapToGrid w:val="0"/>
              <w:kern w:val="0"/>
              <w:szCs w:val="21"/>
              <w:lang w:val="en-US" w:eastAsia="zh-CN"/>
            </w:rPr>
            <w:fldChar w:fldCharType="separate"/>
          </w:r>
          <w:r>
            <w:rPr>
              <w:rFonts w:hint="eastAsia" w:ascii="宋体" w:hAnsi="宋体" w:eastAsia="宋体" w:cs="宋体"/>
              <w:spacing w:val="0"/>
              <w:lang w:val="en-US" w:eastAsia="zh-CN"/>
            </w:rPr>
            <w:t xml:space="preserve">第一章  </w:t>
          </w:r>
          <w:r>
            <w:rPr>
              <w:rFonts w:hint="eastAsia" w:ascii="宋体" w:hAnsi="宋体" w:eastAsia="宋体" w:cs="宋体"/>
              <w:spacing w:val="0"/>
            </w:rPr>
            <w:t>概述</w:t>
          </w:r>
          <w:r>
            <w:tab/>
          </w:r>
          <w:r>
            <w:fldChar w:fldCharType="begin"/>
          </w:r>
          <w:r>
            <w:instrText xml:space="preserve"> PAGEREF _Toc5561 \h </w:instrText>
          </w:r>
          <w:r>
            <w:fldChar w:fldCharType="separate"/>
          </w:r>
          <w:r>
            <w:t>1</w:t>
          </w:r>
          <w:r>
            <w:fldChar w:fldCharType="end"/>
          </w:r>
          <w:r>
            <w:rPr>
              <w:rFonts w:hint="eastAsia" w:ascii="Arial" w:hAnsi="Arial" w:eastAsia="宋体" w:cs="Arial"/>
              <w:snapToGrid w:val="0"/>
              <w:color w:val="auto"/>
              <w:kern w:val="0"/>
              <w:szCs w:val="21"/>
              <w:lang w:val="en-US" w:eastAsia="zh-CN"/>
            </w:rPr>
            <w:fldChar w:fldCharType="end"/>
          </w:r>
        </w:p>
        <w:p w14:paraId="6FD31A05">
          <w:pPr>
            <w:pStyle w:val="14"/>
            <w:tabs>
              <w:tab w:val="right" w:leader="dot" w:pos="8306"/>
            </w:tabs>
          </w:pPr>
          <w:r>
            <w:rPr>
              <w:rFonts w:hint="eastAsia" w:ascii="Arial" w:hAnsi="Arial" w:eastAsia="宋体" w:cs="Arial"/>
              <w:snapToGrid w:val="0"/>
              <w:color w:val="auto"/>
              <w:kern w:val="0"/>
              <w:szCs w:val="21"/>
              <w:lang w:val="en-US" w:eastAsia="zh-CN"/>
            </w:rPr>
            <w:fldChar w:fldCharType="begin"/>
          </w:r>
          <w:r>
            <w:rPr>
              <w:rFonts w:hint="eastAsia" w:ascii="Arial" w:hAnsi="Arial" w:eastAsia="宋体" w:cs="Arial"/>
              <w:snapToGrid w:val="0"/>
              <w:kern w:val="0"/>
              <w:szCs w:val="21"/>
              <w:lang w:val="en-US" w:eastAsia="zh-CN"/>
            </w:rPr>
            <w:instrText xml:space="preserve"> HYPERLINK \l _Toc2749 </w:instrText>
          </w:r>
          <w:r>
            <w:rPr>
              <w:rFonts w:hint="eastAsia" w:ascii="Arial" w:hAnsi="Arial" w:eastAsia="宋体" w:cs="Arial"/>
              <w:snapToGrid w:val="0"/>
              <w:kern w:val="0"/>
              <w:szCs w:val="21"/>
              <w:lang w:val="en-US" w:eastAsia="zh-CN"/>
            </w:rPr>
            <w:fldChar w:fldCharType="separate"/>
          </w:r>
          <w:r>
            <w:rPr>
              <w:rFonts w:hint="eastAsia" w:ascii="宋体" w:hAnsi="宋体" w:eastAsia="宋体" w:cs="宋体"/>
              <w:spacing w:val="0"/>
              <w:lang w:val="en-US" w:eastAsia="zh-CN"/>
            </w:rPr>
            <w:t>1.1</w:t>
          </w:r>
          <w:r>
            <w:rPr>
              <w:rFonts w:hint="eastAsia" w:ascii="宋体" w:hAnsi="宋体" w:eastAsia="宋体" w:cs="宋体"/>
              <w:spacing w:val="0"/>
            </w:rPr>
            <w:t>项目概况</w:t>
          </w:r>
          <w:r>
            <w:tab/>
          </w:r>
          <w:r>
            <w:fldChar w:fldCharType="begin"/>
          </w:r>
          <w:r>
            <w:instrText xml:space="preserve"> PAGEREF _Toc2749 \h </w:instrText>
          </w:r>
          <w:r>
            <w:fldChar w:fldCharType="separate"/>
          </w:r>
          <w:r>
            <w:t>1</w:t>
          </w:r>
          <w:r>
            <w:fldChar w:fldCharType="end"/>
          </w:r>
          <w:r>
            <w:rPr>
              <w:rFonts w:hint="eastAsia" w:ascii="Arial" w:hAnsi="Arial" w:eastAsia="宋体" w:cs="Arial"/>
              <w:snapToGrid w:val="0"/>
              <w:color w:val="auto"/>
              <w:kern w:val="0"/>
              <w:szCs w:val="21"/>
              <w:lang w:val="en-US" w:eastAsia="zh-CN"/>
            </w:rPr>
            <w:fldChar w:fldCharType="end"/>
          </w:r>
        </w:p>
        <w:p w14:paraId="19CD6321">
          <w:pPr>
            <w:pStyle w:val="14"/>
            <w:tabs>
              <w:tab w:val="right" w:leader="dot" w:pos="8306"/>
            </w:tabs>
          </w:pPr>
          <w:r>
            <w:rPr>
              <w:rFonts w:hint="eastAsia" w:ascii="Arial" w:hAnsi="Arial" w:eastAsia="宋体" w:cs="Arial"/>
              <w:snapToGrid w:val="0"/>
              <w:color w:val="auto"/>
              <w:kern w:val="0"/>
              <w:szCs w:val="21"/>
              <w:lang w:val="en-US" w:eastAsia="zh-CN"/>
            </w:rPr>
            <w:fldChar w:fldCharType="begin"/>
          </w:r>
          <w:r>
            <w:rPr>
              <w:rFonts w:hint="eastAsia" w:ascii="Arial" w:hAnsi="Arial" w:eastAsia="宋体" w:cs="Arial"/>
              <w:snapToGrid w:val="0"/>
              <w:kern w:val="0"/>
              <w:szCs w:val="21"/>
              <w:lang w:val="en-US" w:eastAsia="zh-CN"/>
            </w:rPr>
            <w:instrText xml:space="preserve"> HYPERLINK \l _Toc32450 </w:instrText>
          </w:r>
          <w:r>
            <w:rPr>
              <w:rFonts w:hint="eastAsia" w:ascii="Arial" w:hAnsi="Arial" w:eastAsia="宋体" w:cs="Arial"/>
              <w:snapToGrid w:val="0"/>
              <w:kern w:val="0"/>
              <w:szCs w:val="21"/>
              <w:lang w:val="en-US" w:eastAsia="zh-CN"/>
            </w:rPr>
            <w:fldChar w:fldCharType="separate"/>
          </w:r>
          <w:r>
            <w:rPr>
              <w:rFonts w:hint="eastAsia"/>
              <w:spacing w:val="0"/>
              <w:lang w:val="en-US" w:eastAsia="zh-CN"/>
            </w:rPr>
            <w:t>1.2项目单位概况</w:t>
          </w:r>
          <w:r>
            <w:tab/>
          </w:r>
          <w:r>
            <w:fldChar w:fldCharType="begin"/>
          </w:r>
          <w:r>
            <w:instrText xml:space="preserve"> PAGEREF _Toc32450 \h </w:instrText>
          </w:r>
          <w:r>
            <w:fldChar w:fldCharType="separate"/>
          </w:r>
          <w:r>
            <w:t>1</w:t>
          </w:r>
          <w:r>
            <w:fldChar w:fldCharType="end"/>
          </w:r>
          <w:r>
            <w:rPr>
              <w:rFonts w:hint="eastAsia" w:ascii="Arial" w:hAnsi="Arial" w:eastAsia="宋体" w:cs="Arial"/>
              <w:snapToGrid w:val="0"/>
              <w:color w:val="auto"/>
              <w:kern w:val="0"/>
              <w:szCs w:val="21"/>
              <w:lang w:val="en-US" w:eastAsia="zh-CN"/>
            </w:rPr>
            <w:fldChar w:fldCharType="end"/>
          </w:r>
        </w:p>
        <w:p w14:paraId="6C8B3A7E">
          <w:pPr>
            <w:pStyle w:val="14"/>
            <w:tabs>
              <w:tab w:val="right" w:leader="dot" w:pos="8306"/>
            </w:tabs>
          </w:pPr>
          <w:r>
            <w:rPr>
              <w:rFonts w:hint="eastAsia" w:ascii="Arial" w:hAnsi="Arial" w:eastAsia="宋体" w:cs="Arial"/>
              <w:snapToGrid w:val="0"/>
              <w:color w:val="auto"/>
              <w:kern w:val="0"/>
              <w:szCs w:val="21"/>
              <w:lang w:val="en-US" w:eastAsia="zh-CN"/>
            </w:rPr>
            <w:fldChar w:fldCharType="begin"/>
          </w:r>
          <w:r>
            <w:rPr>
              <w:rFonts w:hint="eastAsia" w:ascii="Arial" w:hAnsi="Arial" w:eastAsia="宋体" w:cs="Arial"/>
              <w:snapToGrid w:val="0"/>
              <w:kern w:val="0"/>
              <w:szCs w:val="21"/>
              <w:lang w:val="en-US" w:eastAsia="zh-CN"/>
            </w:rPr>
            <w:instrText xml:space="preserve"> HYPERLINK \l _Toc17652 </w:instrText>
          </w:r>
          <w:r>
            <w:rPr>
              <w:rFonts w:hint="eastAsia" w:ascii="Arial" w:hAnsi="Arial" w:eastAsia="宋体" w:cs="Arial"/>
              <w:snapToGrid w:val="0"/>
              <w:kern w:val="0"/>
              <w:szCs w:val="21"/>
              <w:lang w:val="en-US" w:eastAsia="zh-CN"/>
            </w:rPr>
            <w:fldChar w:fldCharType="separate"/>
          </w:r>
          <w:r>
            <w:rPr>
              <w:rFonts w:hint="eastAsia"/>
              <w:spacing w:val="0"/>
              <w:lang w:val="en-US" w:eastAsia="zh-CN"/>
            </w:rPr>
            <w:t>1.3</w:t>
          </w:r>
          <w:r>
            <w:rPr>
              <w:rFonts w:hint="eastAsia"/>
              <w:spacing w:val="0"/>
            </w:rPr>
            <w:t>编制依据</w:t>
          </w:r>
          <w:r>
            <w:tab/>
          </w:r>
          <w:r>
            <w:fldChar w:fldCharType="begin"/>
          </w:r>
          <w:r>
            <w:instrText xml:space="preserve"> PAGEREF _Toc17652 \h </w:instrText>
          </w:r>
          <w:r>
            <w:fldChar w:fldCharType="separate"/>
          </w:r>
          <w:r>
            <w:t>2</w:t>
          </w:r>
          <w:r>
            <w:fldChar w:fldCharType="end"/>
          </w:r>
          <w:r>
            <w:rPr>
              <w:rFonts w:hint="eastAsia" w:ascii="Arial" w:hAnsi="Arial" w:eastAsia="宋体" w:cs="Arial"/>
              <w:snapToGrid w:val="0"/>
              <w:color w:val="auto"/>
              <w:kern w:val="0"/>
              <w:szCs w:val="21"/>
              <w:lang w:val="en-US" w:eastAsia="zh-CN"/>
            </w:rPr>
            <w:fldChar w:fldCharType="end"/>
          </w:r>
        </w:p>
        <w:p w14:paraId="76D01A37">
          <w:pPr>
            <w:pStyle w:val="14"/>
            <w:tabs>
              <w:tab w:val="right" w:leader="dot" w:pos="8306"/>
            </w:tabs>
          </w:pPr>
          <w:r>
            <w:rPr>
              <w:rFonts w:hint="eastAsia" w:ascii="Arial" w:hAnsi="Arial" w:eastAsia="宋体" w:cs="Arial"/>
              <w:snapToGrid w:val="0"/>
              <w:color w:val="auto"/>
              <w:kern w:val="0"/>
              <w:szCs w:val="21"/>
              <w:lang w:val="en-US" w:eastAsia="zh-CN"/>
            </w:rPr>
            <w:fldChar w:fldCharType="begin"/>
          </w:r>
          <w:r>
            <w:rPr>
              <w:rFonts w:hint="eastAsia" w:ascii="Arial" w:hAnsi="Arial" w:eastAsia="宋体" w:cs="Arial"/>
              <w:snapToGrid w:val="0"/>
              <w:kern w:val="0"/>
              <w:szCs w:val="21"/>
              <w:lang w:val="en-US" w:eastAsia="zh-CN"/>
            </w:rPr>
            <w:instrText xml:space="preserve"> HYPERLINK \l _Toc31053 </w:instrText>
          </w:r>
          <w:r>
            <w:rPr>
              <w:rFonts w:hint="eastAsia" w:ascii="Arial" w:hAnsi="Arial" w:eastAsia="宋体" w:cs="Arial"/>
              <w:snapToGrid w:val="0"/>
              <w:kern w:val="0"/>
              <w:szCs w:val="21"/>
              <w:lang w:val="en-US" w:eastAsia="zh-CN"/>
            </w:rPr>
            <w:fldChar w:fldCharType="separate"/>
          </w:r>
          <w:r>
            <w:rPr>
              <w:rFonts w:hint="eastAsia"/>
              <w:lang w:val="en-US" w:eastAsia="zh-CN"/>
            </w:rPr>
            <w:t>1.4</w:t>
          </w:r>
          <w:r>
            <w:rPr>
              <w:rFonts w:hint="eastAsia"/>
            </w:rPr>
            <w:t>主要结论和建议</w:t>
          </w:r>
          <w:r>
            <w:tab/>
          </w:r>
          <w:r>
            <w:fldChar w:fldCharType="begin"/>
          </w:r>
          <w:r>
            <w:instrText xml:space="preserve"> PAGEREF _Toc31053 \h </w:instrText>
          </w:r>
          <w:r>
            <w:fldChar w:fldCharType="separate"/>
          </w:r>
          <w:r>
            <w:t>3</w:t>
          </w:r>
          <w:r>
            <w:fldChar w:fldCharType="end"/>
          </w:r>
          <w:r>
            <w:rPr>
              <w:rFonts w:hint="eastAsia" w:ascii="Arial" w:hAnsi="Arial" w:eastAsia="宋体" w:cs="Arial"/>
              <w:snapToGrid w:val="0"/>
              <w:color w:val="auto"/>
              <w:kern w:val="0"/>
              <w:szCs w:val="21"/>
              <w:lang w:val="en-US" w:eastAsia="zh-CN"/>
            </w:rPr>
            <w:fldChar w:fldCharType="end"/>
          </w:r>
        </w:p>
        <w:p w14:paraId="42225E83">
          <w:pPr>
            <w:pStyle w:val="13"/>
            <w:tabs>
              <w:tab w:val="right" w:leader="dot" w:pos="8306"/>
            </w:tabs>
          </w:pPr>
          <w:r>
            <w:rPr>
              <w:rFonts w:hint="eastAsia" w:ascii="Arial" w:hAnsi="Arial" w:eastAsia="宋体" w:cs="Arial"/>
              <w:snapToGrid w:val="0"/>
              <w:color w:val="auto"/>
              <w:kern w:val="0"/>
              <w:szCs w:val="21"/>
              <w:lang w:val="en-US" w:eastAsia="zh-CN"/>
            </w:rPr>
            <w:fldChar w:fldCharType="begin"/>
          </w:r>
          <w:r>
            <w:rPr>
              <w:rFonts w:hint="eastAsia" w:ascii="Arial" w:hAnsi="Arial" w:eastAsia="宋体" w:cs="Arial"/>
              <w:snapToGrid w:val="0"/>
              <w:kern w:val="0"/>
              <w:szCs w:val="21"/>
              <w:lang w:val="en-US" w:eastAsia="zh-CN"/>
            </w:rPr>
            <w:instrText xml:space="preserve"> HYPERLINK \l _Toc15968 </w:instrText>
          </w:r>
          <w:r>
            <w:rPr>
              <w:rFonts w:hint="eastAsia" w:ascii="Arial" w:hAnsi="Arial" w:eastAsia="宋体" w:cs="Arial"/>
              <w:snapToGrid w:val="0"/>
              <w:kern w:val="0"/>
              <w:szCs w:val="21"/>
              <w:lang w:val="en-US" w:eastAsia="zh-CN"/>
            </w:rPr>
            <w:fldChar w:fldCharType="separate"/>
          </w:r>
          <w:r>
            <w:rPr>
              <w:rFonts w:hint="eastAsia" w:ascii="宋体" w:hAnsi="宋体" w:eastAsia="宋体" w:cs="宋体"/>
              <w:spacing w:val="0"/>
              <w:lang w:val="en-US" w:eastAsia="zh-CN"/>
            </w:rPr>
            <w:t xml:space="preserve">第二章  </w:t>
          </w:r>
          <w:r>
            <w:rPr>
              <w:rFonts w:hint="eastAsia" w:ascii="宋体" w:hAnsi="宋体" w:eastAsia="宋体" w:cs="宋体"/>
              <w:spacing w:val="0"/>
            </w:rPr>
            <w:t>项目建设背景和必要性</w:t>
          </w:r>
          <w:r>
            <w:tab/>
          </w:r>
          <w:r>
            <w:fldChar w:fldCharType="begin"/>
          </w:r>
          <w:r>
            <w:instrText xml:space="preserve"> PAGEREF _Toc15968 \h </w:instrText>
          </w:r>
          <w:r>
            <w:fldChar w:fldCharType="separate"/>
          </w:r>
          <w:r>
            <w:t>4</w:t>
          </w:r>
          <w:r>
            <w:fldChar w:fldCharType="end"/>
          </w:r>
          <w:r>
            <w:rPr>
              <w:rFonts w:hint="eastAsia" w:ascii="Arial" w:hAnsi="Arial" w:eastAsia="宋体" w:cs="Arial"/>
              <w:snapToGrid w:val="0"/>
              <w:color w:val="auto"/>
              <w:kern w:val="0"/>
              <w:szCs w:val="21"/>
              <w:lang w:val="en-US" w:eastAsia="zh-CN"/>
            </w:rPr>
            <w:fldChar w:fldCharType="end"/>
          </w:r>
        </w:p>
        <w:p w14:paraId="518B4451">
          <w:pPr>
            <w:pStyle w:val="14"/>
            <w:tabs>
              <w:tab w:val="right" w:leader="dot" w:pos="8306"/>
            </w:tabs>
          </w:pPr>
          <w:r>
            <w:rPr>
              <w:rFonts w:hint="eastAsia" w:ascii="Arial" w:hAnsi="Arial" w:eastAsia="宋体" w:cs="Arial"/>
              <w:snapToGrid w:val="0"/>
              <w:color w:val="auto"/>
              <w:kern w:val="0"/>
              <w:szCs w:val="21"/>
              <w:lang w:val="en-US" w:eastAsia="zh-CN"/>
            </w:rPr>
            <w:fldChar w:fldCharType="begin"/>
          </w:r>
          <w:r>
            <w:rPr>
              <w:rFonts w:hint="eastAsia" w:ascii="Arial" w:hAnsi="Arial" w:eastAsia="宋体" w:cs="Arial"/>
              <w:snapToGrid w:val="0"/>
              <w:kern w:val="0"/>
              <w:szCs w:val="21"/>
              <w:lang w:val="en-US" w:eastAsia="zh-CN"/>
            </w:rPr>
            <w:instrText xml:space="preserve"> HYPERLINK \l _Toc9218 </w:instrText>
          </w:r>
          <w:r>
            <w:rPr>
              <w:rFonts w:hint="eastAsia" w:ascii="Arial" w:hAnsi="Arial" w:eastAsia="宋体" w:cs="Arial"/>
              <w:snapToGrid w:val="0"/>
              <w:kern w:val="0"/>
              <w:szCs w:val="21"/>
              <w:lang w:val="en-US" w:eastAsia="zh-CN"/>
            </w:rPr>
            <w:fldChar w:fldCharType="separate"/>
          </w:r>
          <w:r>
            <w:rPr>
              <w:rFonts w:hint="eastAsia"/>
              <w:lang w:val="en-US" w:eastAsia="zh-CN"/>
            </w:rPr>
            <w:t>2.1</w:t>
          </w:r>
          <w:r>
            <w:rPr>
              <w:rFonts w:hint="eastAsia"/>
            </w:rPr>
            <w:t>项目建设背景</w:t>
          </w:r>
          <w:r>
            <w:tab/>
          </w:r>
          <w:r>
            <w:fldChar w:fldCharType="begin"/>
          </w:r>
          <w:r>
            <w:instrText xml:space="preserve"> PAGEREF _Toc9218 \h </w:instrText>
          </w:r>
          <w:r>
            <w:fldChar w:fldCharType="separate"/>
          </w:r>
          <w:r>
            <w:t>4</w:t>
          </w:r>
          <w:r>
            <w:fldChar w:fldCharType="end"/>
          </w:r>
          <w:r>
            <w:rPr>
              <w:rFonts w:hint="eastAsia" w:ascii="Arial" w:hAnsi="Arial" w:eastAsia="宋体" w:cs="Arial"/>
              <w:snapToGrid w:val="0"/>
              <w:color w:val="auto"/>
              <w:kern w:val="0"/>
              <w:szCs w:val="21"/>
              <w:lang w:val="en-US" w:eastAsia="zh-CN"/>
            </w:rPr>
            <w:fldChar w:fldCharType="end"/>
          </w:r>
        </w:p>
        <w:p w14:paraId="32B052EB">
          <w:pPr>
            <w:pStyle w:val="14"/>
            <w:tabs>
              <w:tab w:val="right" w:leader="dot" w:pos="8306"/>
            </w:tabs>
          </w:pPr>
          <w:r>
            <w:rPr>
              <w:rFonts w:hint="eastAsia" w:ascii="Arial" w:hAnsi="Arial" w:eastAsia="宋体" w:cs="Arial"/>
              <w:snapToGrid w:val="0"/>
              <w:color w:val="auto"/>
              <w:kern w:val="0"/>
              <w:szCs w:val="21"/>
              <w:lang w:val="en-US" w:eastAsia="zh-CN"/>
            </w:rPr>
            <w:fldChar w:fldCharType="begin"/>
          </w:r>
          <w:r>
            <w:rPr>
              <w:rFonts w:hint="eastAsia" w:ascii="Arial" w:hAnsi="Arial" w:eastAsia="宋体" w:cs="Arial"/>
              <w:snapToGrid w:val="0"/>
              <w:kern w:val="0"/>
              <w:szCs w:val="21"/>
              <w:lang w:val="en-US" w:eastAsia="zh-CN"/>
            </w:rPr>
            <w:instrText xml:space="preserve"> HYPERLINK \l _Toc769 </w:instrText>
          </w:r>
          <w:r>
            <w:rPr>
              <w:rFonts w:hint="eastAsia" w:ascii="Arial" w:hAnsi="Arial" w:eastAsia="宋体" w:cs="Arial"/>
              <w:snapToGrid w:val="0"/>
              <w:kern w:val="0"/>
              <w:szCs w:val="21"/>
              <w:lang w:val="en-US" w:eastAsia="zh-CN"/>
            </w:rPr>
            <w:fldChar w:fldCharType="separate"/>
          </w:r>
          <w:r>
            <w:rPr>
              <w:rFonts w:hint="eastAsia"/>
              <w:spacing w:val="0"/>
              <w:lang w:val="en-US" w:eastAsia="zh-CN"/>
            </w:rPr>
            <w:t>2.2</w:t>
          </w:r>
          <w:r>
            <w:rPr>
              <w:rFonts w:hint="eastAsia"/>
              <w:spacing w:val="0"/>
            </w:rPr>
            <w:t>项目建设必要性</w:t>
          </w:r>
          <w:r>
            <w:tab/>
          </w:r>
          <w:r>
            <w:fldChar w:fldCharType="begin"/>
          </w:r>
          <w:r>
            <w:instrText xml:space="preserve"> PAGEREF _Toc769 \h </w:instrText>
          </w:r>
          <w:r>
            <w:fldChar w:fldCharType="separate"/>
          </w:r>
          <w:r>
            <w:t>7</w:t>
          </w:r>
          <w:r>
            <w:fldChar w:fldCharType="end"/>
          </w:r>
          <w:r>
            <w:rPr>
              <w:rFonts w:hint="eastAsia" w:ascii="Arial" w:hAnsi="Arial" w:eastAsia="宋体" w:cs="Arial"/>
              <w:snapToGrid w:val="0"/>
              <w:color w:val="auto"/>
              <w:kern w:val="0"/>
              <w:szCs w:val="21"/>
              <w:lang w:val="en-US" w:eastAsia="zh-CN"/>
            </w:rPr>
            <w:fldChar w:fldCharType="end"/>
          </w:r>
        </w:p>
        <w:p w14:paraId="50CC1508">
          <w:pPr>
            <w:pStyle w:val="13"/>
            <w:tabs>
              <w:tab w:val="right" w:leader="dot" w:pos="8306"/>
            </w:tabs>
          </w:pPr>
          <w:r>
            <w:rPr>
              <w:rFonts w:hint="eastAsia" w:ascii="Arial" w:hAnsi="Arial" w:eastAsia="宋体" w:cs="Arial"/>
              <w:snapToGrid w:val="0"/>
              <w:color w:val="auto"/>
              <w:kern w:val="0"/>
              <w:szCs w:val="21"/>
              <w:lang w:val="en-US" w:eastAsia="zh-CN"/>
            </w:rPr>
            <w:fldChar w:fldCharType="begin"/>
          </w:r>
          <w:r>
            <w:rPr>
              <w:rFonts w:hint="eastAsia" w:ascii="Arial" w:hAnsi="Arial" w:eastAsia="宋体" w:cs="Arial"/>
              <w:snapToGrid w:val="0"/>
              <w:kern w:val="0"/>
              <w:szCs w:val="21"/>
              <w:lang w:val="en-US" w:eastAsia="zh-CN"/>
            </w:rPr>
            <w:instrText xml:space="preserve"> HYPERLINK \l _Toc27395 </w:instrText>
          </w:r>
          <w:r>
            <w:rPr>
              <w:rFonts w:hint="eastAsia" w:ascii="Arial" w:hAnsi="Arial" w:eastAsia="宋体" w:cs="Arial"/>
              <w:snapToGrid w:val="0"/>
              <w:kern w:val="0"/>
              <w:szCs w:val="21"/>
              <w:lang w:val="en-US" w:eastAsia="zh-CN"/>
            </w:rPr>
            <w:fldChar w:fldCharType="separate"/>
          </w:r>
          <w:r>
            <w:rPr>
              <w:rFonts w:hint="eastAsia"/>
              <w:spacing w:val="0"/>
              <w:lang w:val="en-US" w:eastAsia="zh-CN"/>
            </w:rPr>
            <w:t xml:space="preserve">第三章  </w:t>
          </w:r>
          <w:r>
            <w:rPr>
              <w:rFonts w:hint="eastAsia"/>
              <w:spacing w:val="0"/>
            </w:rPr>
            <w:t>项目需求分析与产出方案</w:t>
          </w:r>
          <w:r>
            <w:tab/>
          </w:r>
          <w:r>
            <w:fldChar w:fldCharType="begin"/>
          </w:r>
          <w:r>
            <w:instrText xml:space="preserve"> PAGEREF _Toc27395 \h </w:instrText>
          </w:r>
          <w:r>
            <w:fldChar w:fldCharType="separate"/>
          </w:r>
          <w:r>
            <w:t>9</w:t>
          </w:r>
          <w:r>
            <w:fldChar w:fldCharType="end"/>
          </w:r>
          <w:r>
            <w:rPr>
              <w:rFonts w:hint="eastAsia" w:ascii="Arial" w:hAnsi="Arial" w:eastAsia="宋体" w:cs="Arial"/>
              <w:snapToGrid w:val="0"/>
              <w:color w:val="auto"/>
              <w:kern w:val="0"/>
              <w:szCs w:val="21"/>
              <w:lang w:val="en-US" w:eastAsia="zh-CN"/>
            </w:rPr>
            <w:fldChar w:fldCharType="end"/>
          </w:r>
        </w:p>
        <w:p w14:paraId="6D3B95C8">
          <w:pPr>
            <w:pStyle w:val="14"/>
            <w:tabs>
              <w:tab w:val="right" w:leader="dot" w:pos="8306"/>
            </w:tabs>
          </w:pPr>
          <w:r>
            <w:rPr>
              <w:rFonts w:hint="eastAsia" w:ascii="Arial" w:hAnsi="Arial" w:eastAsia="宋体" w:cs="Arial"/>
              <w:snapToGrid w:val="0"/>
              <w:color w:val="auto"/>
              <w:kern w:val="0"/>
              <w:szCs w:val="21"/>
              <w:lang w:val="en-US" w:eastAsia="zh-CN"/>
            </w:rPr>
            <w:fldChar w:fldCharType="begin"/>
          </w:r>
          <w:r>
            <w:rPr>
              <w:rFonts w:hint="eastAsia" w:ascii="Arial" w:hAnsi="Arial" w:eastAsia="宋体" w:cs="Arial"/>
              <w:snapToGrid w:val="0"/>
              <w:kern w:val="0"/>
              <w:szCs w:val="21"/>
              <w:lang w:val="en-US" w:eastAsia="zh-CN"/>
            </w:rPr>
            <w:instrText xml:space="preserve"> HYPERLINK \l _Toc17903 </w:instrText>
          </w:r>
          <w:r>
            <w:rPr>
              <w:rFonts w:hint="eastAsia" w:ascii="Arial" w:hAnsi="Arial" w:eastAsia="宋体" w:cs="Arial"/>
              <w:snapToGrid w:val="0"/>
              <w:kern w:val="0"/>
              <w:szCs w:val="21"/>
              <w:lang w:val="en-US" w:eastAsia="zh-CN"/>
            </w:rPr>
            <w:fldChar w:fldCharType="separate"/>
          </w:r>
          <w:r>
            <w:rPr>
              <w:rFonts w:hint="eastAsia"/>
              <w:spacing w:val="0"/>
              <w:lang w:val="en-US" w:eastAsia="zh-CN"/>
            </w:rPr>
            <w:t>3.1</w:t>
          </w:r>
          <w:r>
            <w:rPr>
              <w:rFonts w:hint="eastAsia"/>
              <w:spacing w:val="0"/>
            </w:rPr>
            <w:t>需求分析</w:t>
          </w:r>
          <w:r>
            <w:tab/>
          </w:r>
          <w:r>
            <w:fldChar w:fldCharType="begin"/>
          </w:r>
          <w:r>
            <w:instrText xml:space="preserve"> PAGEREF _Toc17903 \h </w:instrText>
          </w:r>
          <w:r>
            <w:fldChar w:fldCharType="separate"/>
          </w:r>
          <w:r>
            <w:t>9</w:t>
          </w:r>
          <w:r>
            <w:fldChar w:fldCharType="end"/>
          </w:r>
          <w:r>
            <w:rPr>
              <w:rFonts w:hint="eastAsia" w:ascii="Arial" w:hAnsi="Arial" w:eastAsia="宋体" w:cs="Arial"/>
              <w:snapToGrid w:val="0"/>
              <w:color w:val="auto"/>
              <w:kern w:val="0"/>
              <w:szCs w:val="21"/>
              <w:lang w:val="en-US" w:eastAsia="zh-CN"/>
            </w:rPr>
            <w:fldChar w:fldCharType="end"/>
          </w:r>
        </w:p>
        <w:p w14:paraId="7CE9D686">
          <w:pPr>
            <w:pStyle w:val="14"/>
            <w:tabs>
              <w:tab w:val="right" w:leader="dot" w:pos="8306"/>
            </w:tabs>
          </w:pPr>
          <w:r>
            <w:rPr>
              <w:rFonts w:hint="eastAsia" w:ascii="Arial" w:hAnsi="Arial" w:eastAsia="宋体" w:cs="Arial"/>
              <w:snapToGrid w:val="0"/>
              <w:color w:val="auto"/>
              <w:kern w:val="0"/>
              <w:szCs w:val="21"/>
              <w:lang w:val="en-US" w:eastAsia="zh-CN"/>
            </w:rPr>
            <w:fldChar w:fldCharType="begin"/>
          </w:r>
          <w:r>
            <w:rPr>
              <w:rFonts w:hint="eastAsia" w:ascii="Arial" w:hAnsi="Arial" w:eastAsia="宋体" w:cs="Arial"/>
              <w:snapToGrid w:val="0"/>
              <w:kern w:val="0"/>
              <w:szCs w:val="21"/>
              <w:lang w:val="en-US" w:eastAsia="zh-CN"/>
            </w:rPr>
            <w:instrText xml:space="preserve"> HYPERLINK \l _Toc22152 </w:instrText>
          </w:r>
          <w:r>
            <w:rPr>
              <w:rFonts w:hint="eastAsia" w:ascii="Arial" w:hAnsi="Arial" w:eastAsia="宋体" w:cs="Arial"/>
              <w:snapToGrid w:val="0"/>
              <w:kern w:val="0"/>
              <w:szCs w:val="21"/>
              <w:lang w:val="en-US" w:eastAsia="zh-CN"/>
            </w:rPr>
            <w:fldChar w:fldCharType="separate"/>
          </w:r>
          <w:r>
            <w:rPr>
              <w:rFonts w:hint="eastAsia"/>
              <w:spacing w:val="0"/>
              <w:lang w:val="en-US" w:eastAsia="zh-CN"/>
            </w:rPr>
            <w:t>3.2</w:t>
          </w:r>
          <w:r>
            <w:rPr>
              <w:rFonts w:hint="eastAsia"/>
              <w:spacing w:val="0"/>
            </w:rPr>
            <w:t>建设内容和规模</w:t>
          </w:r>
          <w:r>
            <w:tab/>
          </w:r>
          <w:r>
            <w:fldChar w:fldCharType="begin"/>
          </w:r>
          <w:r>
            <w:instrText xml:space="preserve"> PAGEREF _Toc22152 \h </w:instrText>
          </w:r>
          <w:r>
            <w:fldChar w:fldCharType="separate"/>
          </w:r>
          <w:r>
            <w:t>10</w:t>
          </w:r>
          <w:r>
            <w:fldChar w:fldCharType="end"/>
          </w:r>
          <w:r>
            <w:rPr>
              <w:rFonts w:hint="eastAsia" w:ascii="Arial" w:hAnsi="Arial" w:eastAsia="宋体" w:cs="Arial"/>
              <w:snapToGrid w:val="0"/>
              <w:color w:val="auto"/>
              <w:kern w:val="0"/>
              <w:szCs w:val="21"/>
              <w:lang w:val="en-US" w:eastAsia="zh-CN"/>
            </w:rPr>
            <w:fldChar w:fldCharType="end"/>
          </w:r>
        </w:p>
        <w:p w14:paraId="396B5829">
          <w:pPr>
            <w:pStyle w:val="14"/>
            <w:tabs>
              <w:tab w:val="right" w:leader="dot" w:pos="8306"/>
            </w:tabs>
          </w:pPr>
          <w:r>
            <w:rPr>
              <w:rFonts w:hint="eastAsia" w:ascii="Arial" w:hAnsi="Arial" w:eastAsia="宋体" w:cs="Arial"/>
              <w:snapToGrid w:val="0"/>
              <w:color w:val="auto"/>
              <w:kern w:val="0"/>
              <w:szCs w:val="21"/>
              <w:lang w:val="en-US" w:eastAsia="zh-CN"/>
            </w:rPr>
            <w:fldChar w:fldCharType="begin"/>
          </w:r>
          <w:r>
            <w:rPr>
              <w:rFonts w:hint="eastAsia" w:ascii="Arial" w:hAnsi="Arial" w:eastAsia="宋体" w:cs="Arial"/>
              <w:snapToGrid w:val="0"/>
              <w:kern w:val="0"/>
              <w:szCs w:val="21"/>
              <w:lang w:val="en-US" w:eastAsia="zh-CN"/>
            </w:rPr>
            <w:instrText xml:space="preserve"> HYPERLINK \l _Toc29203 </w:instrText>
          </w:r>
          <w:r>
            <w:rPr>
              <w:rFonts w:hint="eastAsia" w:ascii="Arial" w:hAnsi="Arial" w:eastAsia="宋体" w:cs="Arial"/>
              <w:snapToGrid w:val="0"/>
              <w:kern w:val="0"/>
              <w:szCs w:val="21"/>
              <w:lang w:val="en-US" w:eastAsia="zh-CN"/>
            </w:rPr>
            <w:fldChar w:fldCharType="separate"/>
          </w:r>
          <w:r>
            <w:rPr>
              <w:rFonts w:hint="eastAsia"/>
              <w:spacing w:val="0"/>
              <w:lang w:val="en-US" w:eastAsia="zh-CN"/>
            </w:rPr>
            <w:t>3.3</w:t>
          </w:r>
          <w:r>
            <w:rPr>
              <w:rFonts w:hint="eastAsia"/>
              <w:spacing w:val="0"/>
            </w:rPr>
            <w:t>项目产出方案</w:t>
          </w:r>
          <w:r>
            <w:tab/>
          </w:r>
          <w:r>
            <w:fldChar w:fldCharType="begin"/>
          </w:r>
          <w:r>
            <w:instrText xml:space="preserve"> PAGEREF _Toc29203 \h </w:instrText>
          </w:r>
          <w:r>
            <w:fldChar w:fldCharType="separate"/>
          </w:r>
          <w:r>
            <w:t>10</w:t>
          </w:r>
          <w:r>
            <w:fldChar w:fldCharType="end"/>
          </w:r>
          <w:r>
            <w:rPr>
              <w:rFonts w:hint="eastAsia" w:ascii="Arial" w:hAnsi="Arial" w:eastAsia="宋体" w:cs="Arial"/>
              <w:snapToGrid w:val="0"/>
              <w:color w:val="auto"/>
              <w:kern w:val="0"/>
              <w:szCs w:val="21"/>
              <w:lang w:val="en-US" w:eastAsia="zh-CN"/>
            </w:rPr>
            <w:fldChar w:fldCharType="end"/>
          </w:r>
        </w:p>
        <w:p w14:paraId="1D674751">
          <w:pPr>
            <w:pStyle w:val="13"/>
            <w:tabs>
              <w:tab w:val="right" w:leader="dot" w:pos="8306"/>
            </w:tabs>
          </w:pPr>
          <w:r>
            <w:rPr>
              <w:rFonts w:hint="eastAsia" w:ascii="Arial" w:hAnsi="Arial" w:eastAsia="宋体" w:cs="Arial"/>
              <w:snapToGrid w:val="0"/>
              <w:color w:val="auto"/>
              <w:kern w:val="0"/>
              <w:szCs w:val="21"/>
              <w:lang w:val="en-US" w:eastAsia="zh-CN"/>
            </w:rPr>
            <w:fldChar w:fldCharType="begin"/>
          </w:r>
          <w:r>
            <w:rPr>
              <w:rFonts w:hint="eastAsia" w:ascii="Arial" w:hAnsi="Arial" w:eastAsia="宋体" w:cs="Arial"/>
              <w:snapToGrid w:val="0"/>
              <w:kern w:val="0"/>
              <w:szCs w:val="21"/>
              <w:lang w:val="en-US" w:eastAsia="zh-CN"/>
            </w:rPr>
            <w:instrText xml:space="preserve"> HYPERLINK \l _Toc25371 </w:instrText>
          </w:r>
          <w:r>
            <w:rPr>
              <w:rFonts w:hint="eastAsia" w:ascii="Arial" w:hAnsi="Arial" w:eastAsia="宋体" w:cs="Arial"/>
              <w:snapToGrid w:val="0"/>
              <w:kern w:val="0"/>
              <w:szCs w:val="21"/>
              <w:lang w:val="en-US" w:eastAsia="zh-CN"/>
            </w:rPr>
            <w:fldChar w:fldCharType="separate"/>
          </w:r>
          <w:r>
            <w:rPr>
              <w:rFonts w:hint="eastAsia"/>
              <w:spacing w:val="0"/>
              <w:lang w:val="en-US" w:eastAsia="zh-CN"/>
            </w:rPr>
            <w:t xml:space="preserve">第四章  </w:t>
          </w:r>
          <w:r>
            <w:rPr>
              <w:rFonts w:hint="eastAsia"/>
              <w:spacing w:val="0"/>
            </w:rPr>
            <w:t>项目选址与要素保障</w:t>
          </w:r>
          <w:r>
            <w:tab/>
          </w:r>
          <w:r>
            <w:fldChar w:fldCharType="begin"/>
          </w:r>
          <w:r>
            <w:instrText xml:space="preserve"> PAGEREF _Toc25371 \h </w:instrText>
          </w:r>
          <w:r>
            <w:fldChar w:fldCharType="separate"/>
          </w:r>
          <w:r>
            <w:t>12</w:t>
          </w:r>
          <w:r>
            <w:fldChar w:fldCharType="end"/>
          </w:r>
          <w:r>
            <w:rPr>
              <w:rFonts w:hint="eastAsia" w:ascii="Arial" w:hAnsi="Arial" w:eastAsia="宋体" w:cs="Arial"/>
              <w:snapToGrid w:val="0"/>
              <w:color w:val="auto"/>
              <w:kern w:val="0"/>
              <w:szCs w:val="21"/>
              <w:lang w:val="en-US" w:eastAsia="zh-CN"/>
            </w:rPr>
            <w:fldChar w:fldCharType="end"/>
          </w:r>
        </w:p>
        <w:p w14:paraId="4757DB96">
          <w:pPr>
            <w:pStyle w:val="14"/>
            <w:tabs>
              <w:tab w:val="right" w:leader="dot" w:pos="8306"/>
            </w:tabs>
          </w:pPr>
          <w:r>
            <w:rPr>
              <w:rFonts w:hint="eastAsia" w:ascii="Arial" w:hAnsi="Arial" w:eastAsia="宋体" w:cs="Arial"/>
              <w:snapToGrid w:val="0"/>
              <w:color w:val="auto"/>
              <w:kern w:val="0"/>
              <w:szCs w:val="21"/>
              <w:lang w:val="en-US" w:eastAsia="zh-CN"/>
            </w:rPr>
            <w:fldChar w:fldCharType="begin"/>
          </w:r>
          <w:r>
            <w:rPr>
              <w:rFonts w:hint="eastAsia" w:ascii="Arial" w:hAnsi="Arial" w:eastAsia="宋体" w:cs="Arial"/>
              <w:snapToGrid w:val="0"/>
              <w:kern w:val="0"/>
              <w:szCs w:val="21"/>
              <w:lang w:val="en-US" w:eastAsia="zh-CN"/>
            </w:rPr>
            <w:instrText xml:space="preserve"> HYPERLINK \l _Toc500 </w:instrText>
          </w:r>
          <w:r>
            <w:rPr>
              <w:rFonts w:hint="eastAsia" w:ascii="Arial" w:hAnsi="Arial" w:eastAsia="宋体" w:cs="Arial"/>
              <w:snapToGrid w:val="0"/>
              <w:kern w:val="0"/>
              <w:szCs w:val="21"/>
              <w:lang w:val="en-US" w:eastAsia="zh-CN"/>
            </w:rPr>
            <w:fldChar w:fldCharType="separate"/>
          </w:r>
          <w:r>
            <w:rPr>
              <w:rFonts w:hint="eastAsia"/>
              <w:spacing w:val="0"/>
              <w:lang w:val="en-US" w:eastAsia="zh-CN"/>
            </w:rPr>
            <w:t>4.1</w:t>
          </w:r>
          <w:r>
            <w:rPr>
              <w:rFonts w:hint="eastAsia"/>
              <w:spacing w:val="0"/>
            </w:rPr>
            <w:t>项目选址</w:t>
          </w:r>
          <w:r>
            <w:tab/>
          </w:r>
          <w:r>
            <w:fldChar w:fldCharType="begin"/>
          </w:r>
          <w:r>
            <w:instrText xml:space="preserve"> PAGEREF _Toc500 \h </w:instrText>
          </w:r>
          <w:r>
            <w:fldChar w:fldCharType="separate"/>
          </w:r>
          <w:r>
            <w:t>12</w:t>
          </w:r>
          <w:r>
            <w:fldChar w:fldCharType="end"/>
          </w:r>
          <w:r>
            <w:rPr>
              <w:rFonts w:hint="eastAsia" w:ascii="Arial" w:hAnsi="Arial" w:eastAsia="宋体" w:cs="Arial"/>
              <w:snapToGrid w:val="0"/>
              <w:color w:val="auto"/>
              <w:kern w:val="0"/>
              <w:szCs w:val="21"/>
              <w:lang w:val="en-US" w:eastAsia="zh-CN"/>
            </w:rPr>
            <w:fldChar w:fldCharType="end"/>
          </w:r>
        </w:p>
        <w:p w14:paraId="0E3BADBF">
          <w:pPr>
            <w:pStyle w:val="14"/>
            <w:tabs>
              <w:tab w:val="right" w:leader="dot" w:pos="8306"/>
            </w:tabs>
          </w:pPr>
          <w:r>
            <w:rPr>
              <w:rFonts w:hint="eastAsia" w:ascii="Arial" w:hAnsi="Arial" w:eastAsia="宋体" w:cs="Arial"/>
              <w:snapToGrid w:val="0"/>
              <w:color w:val="auto"/>
              <w:kern w:val="0"/>
              <w:szCs w:val="21"/>
              <w:lang w:val="en-US" w:eastAsia="zh-CN"/>
            </w:rPr>
            <w:fldChar w:fldCharType="begin"/>
          </w:r>
          <w:r>
            <w:rPr>
              <w:rFonts w:hint="eastAsia" w:ascii="Arial" w:hAnsi="Arial" w:eastAsia="宋体" w:cs="Arial"/>
              <w:snapToGrid w:val="0"/>
              <w:kern w:val="0"/>
              <w:szCs w:val="21"/>
              <w:lang w:val="en-US" w:eastAsia="zh-CN"/>
            </w:rPr>
            <w:instrText xml:space="preserve"> HYPERLINK \l _Toc22727 </w:instrText>
          </w:r>
          <w:r>
            <w:rPr>
              <w:rFonts w:hint="eastAsia" w:ascii="Arial" w:hAnsi="Arial" w:eastAsia="宋体" w:cs="Arial"/>
              <w:snapToGrid w:val="0"/>
              <w:kern w:val="0"/>
              <w:szCs w:val="21"/>
              <w:lang w:val="en-US" w:eastAsia="zh-CN"/>
            </w:rPr>
            <w:fldChar w:fldCharType="separate"/>
          </w:r>
          <w:r>
            <w:rPr>
              <w:rFonts w:hint="eastAsia"/>
              <w:spacing w:val="0"/>
              <w:lang w:val="en-US" w:eastAsia="zh-CN"/>
            </w:rPr>
            <w:t>4.2</w:t>
          </w:r>
          <w:r>
            <w:rPr>
              <w:rFonts w:hint="eastAsia"/>
              <w:spacing w:val="0"/>
            </w:rPr>
            <w:t>项目建设条件</w:t>
          </w:r>
          <w:r>
            <w:tab/>
          </w:r>
          <w:r>
            <w:fldChar w:fldCharType="begin"/>
          </w:r>
          <w:r>
            <w:instrText xml:space="preserve"> PAGEREF _Toc22727 \h </w:instrText>
          </w:r>
          <w:r>
            <w:fldChar w:fldCharType="separate"/>
          </w:r>
          <w:r>
            <w:t>12</w:t>
          </w:r>
          <w:r>
            <w:fldChar w:fldCharType="end"/>
          </w:r>
          <w:r>
            <w:rPr>
              <w:rFonts w:hint="eastAsia" w:ascii="Arial" w:hAnsi="Arial" w:eastAsia="宋体" w:cs="Arial"/>
              <w:snapToGrid w:val="0"/>
              <w:color w:val="auto"/>
              <w:kern w:val="0"/>
              <w:szCs w:val="21"/>
              <w:lang w:val="en-US" w:eastAsia="zh-CN"/>
            </w:rPr>
            <w:fldChar w:fldCharType="end"/>
          </w:r>
        </w:p>
        <w:p w14:paraId="0CB8A6B0">
          <w:pPr>
            <w:pStyle w:val="14"/>
            <w:tabs>
              <w:tab w:val="right" w:leader="dot" w:pos="8306"/>
            </w:tabs>
          </w:pPr>
          <w:r>
            <w:rPr>
              <w:rFonts w:hint="eastAsia" w:ascii="Arial" w:hAnsi="Arial" w:eastAsia="宋体" w:cs="Arial"/>
              <w:snapToGrid w:val="0"/>
              <w:color w:val="auto"/>
              <w:kern w:val="0"/>
              <w:szCs w:val="21"/>
              <w:lang w:val="en-US" w:eastAsia="zh-CN"/>
            </w:rPr>
            <w:fldChar w:fldCharType="begin"/>
          </w:r>
          <w:r>
            <w:rPr>
              <w:rFonts w:hint="eastAsia" w:ascii="Arial" w:hAnsi="Arial" w:eastAsia="宋体" w:cs="Arial"/>
              <w:snapToGrid w:val="0"/>
              <w:kern w:val="0"/>
              <w:szCs w:val="21"/>
              <w:lang w:val="en-US" w:eastAsia="zh-CN"/>
            </w:rPr>
            <w:instrText xml:space="preserve"> HYPERLINK \l _Toc24228 </w:instrText>
          </w:r>
          <w:r>
            <w:rPr>
              <w:rFonts w:hint="eastAsia" w:ascii="Arial" w:hAnsi="Arial" w:eastAsia="宋体" w:cs="Arial"/>
              <w:snapToGrid w:val="0"/>
              <w:kern w:val="0"/>
              <w:szCs w:val="21"/>
              <w:lang w:val="en-US" w:eastAsia="zh-CN"/>
            </w:rPr>
            <w:fldChar w:fldCharType="separate"/>
          </w:r>
          <w:r>
            <w:rPr>
              <w:rFonts w:hint="eastAsia"/>
              <w:lang w:val="en-US" w:eastAsia="zh-CN"/>
            </w:rPr>
            <w:t>4.3</w:t>
          </w:r>
          <w:r>
            <w:rPr>
              <w:rFonts w:hint="eastAsia"/>
            </w:rPr>
            <w:t>要素保障分析</w:t>
          </w:r>
          <w:r>
            <w:tab/>
          </w:r>
          <w:r>
            <w:fldChar w:fldCharType="begin"/>
          </w:r>
          <w:r>
            <w:instrText xml:space="preserve"> PAGEREF _Toc24228 \h </w:instrText>
          </w:r>
          <w:r>
            <w:fldChar w:fldCharType="separate"/>
          </w:r>
          <w:r>
            <w:t>18</w:t>
          </w:r>
          <w:r>
            <w:fldChar w:fldCharType="end"/>
          </w:r>
          <w:r>
            <w:rPr>
              <w:rFonts w:hint="eastAsia" w:ascii="Arial" w:hAnsi="Arial" w:eastAsia="宋体" w:cs="Arial"/>
              <w:snapToGrid w:val="0"/>
              <w:color w:val="auto"/>
              <w:kern w:val="0"/>
              <w:szCs w:val="21"/>
              <w:lang w:val="en-US" w:eastAsia="zh-CN"/>
            </w:rPr>
            <w:fldChar w:fldCharType="end"/>
          </w:r>
        </w:p>
        <w:p w14:paraId="5729BE03">
          <w:pPr>
            <w:pStyle w:val="13"/>
            <w:tabs>
              <w:tab w:val="right" w:leader="dot" w:pos="8306"/>
            </w:tabs>
          </w:pPr>
          <w:r>
            <w:rPr>
              <w:rFonts w:hint="eastAsia" w:ascii="Arial" w:hAnsi="Arial" w:eastAsia="宋体" w:cs="Arial"/>
              <w:snapToGrid w:val="0"/>
              <w:color w:val="auto"/>
              <w:kern w:val="0"/>
              <w:szCs w:val="21"/>
              <w:lang w:val="en-US" w:eastAsia="zh-CN"/>
            </w:rPr>
            <w:fldChar w:fldCharType="begin"/>
          </w:r>
          <w:r>
            <w:rPr>
              <w:rFonts w:hint="eastAsia" w:ascii="Arial" w:hAnsi="Arial" w:eastAsia="宋体" w:cs="Arial"/>
              <w:snapToGrid w:val="0"/>
              <w:kern w:val="0"/>
              <w:szCs w:val="21"/>
              <w:lang w:val="en-US" w:eastAsia="zh-CN"/>
            </w:rPr>
            <w:instrText xml:space="preserve"> HYPERLINK \l _Toc192 </w:instrText>
          </w:r>
          <w:r>
            <w:rPr>
              <w:rFonts w:hint="eastAsia" w:ascii="Arial" w:hAnsi="Arial" w:eastAsia="宋体" w:cs="Arial"/>
              <w:snapToGrid w:val="0"/>
              <w:kern w:val="0"/>
              <w:szCs w:val="21"/>
              <w:lang w:val="en-US" w:eastAsia="zh-CN"/>
            </w:rPr>
            <w:fldChar w:fldCharType="separate"/>
          </w:r>
          <w:r>
            <w:rPr>
              <w:rFonts w:hint="eastAsia"/>
              <w:lang w:val="en-US" w:eastAsia="zh-CN"/>
            </w:rPr>
            <w:t>第五章</w:t>
          </w:r>
          <w:r>
            <w:rPr>
              <w:rFonts w:hint="eastAsia"/>
            </w:rPr>
            <w:t>项目建设管理方案</w:t>
          </w:r>
          <w:r>
            <w:tab/>
          </w:r>
          <w:r>
            <w:fldChar w:fldCharType="begin"/>
          </w:r>
          <w:r>
            <w:instrText xml:space="preserve"> PAGEREF _Toc192 \h </w:instrText>
          </w:r>
          <w:r>
            <w:fldChar w:fldCharType="separate"/>
          </w:r>
          <w:r>
            <w:t>23</w:t>
          </w:r>
          <w:r>
            <w:fldChar w:fldCharType="end"/>
          </w:r>
          <w:r>
            <w:rPr>
              <w:rFonts w:hint="eastAsia" w:ascii="Arial" w:hAnsi="Arial" w:eastAsia="宋体" w:cs="Arial"/>
              <w:snapToGrid w:val="0"/>
              <w:color w:val="auto"/>
              <w:kern w:val="0"/>
              <w:szCs w:val="21"/>
              <w:lang w:val="en-US" w:eastAsia="zh-CN"/>
            </w:rPr>
            <w:fldChar w:fldCharType="end"/>
          </w:r>
        </w:p>
        <w:p w14:paraId="410AFC1A">
          <w:pPr>
            <w:pStyle w:val="14"/>
            <w:tabs>
              <w:tab w:val="right" w:leader="dot" w:pos="8306"/>
            </w:tabs>
          </w:pPr>
          <w:r>
            <w:rPr>
              <w:rFonts w:hint="eastAsia" w:ascii="Arial" w:hAnsi="Arial" w:eastAsia="宋体" w:cs="Arial"/>
              <w:snapToGrid w:val="0"/>
              <w:color w:val="auto"/>
              <w:kern w:val="0"/>
              <w:szCs w:val="21"/>
              <w:lang w:val="en-US" w:eastAsia="zh-CN"/>
            </w:rPr>
            <w:fldChar w:fldCharType="begin"/>
          </w:r>
          <w:r>
            <w:rPr>
              <w:rFonts w:hint="eastAsia" w:ascii="Arial" w:hAnsi="Arial" w:eastAsia="宋体" w:cs="Arial"/>
              <w:snapToGrid w:val="0"/>
              <w:kern w:val="0"/>
              <w:szCs w:val="21"/>
              <w:lang w:val="en-US" w:eastAsia="zh-CN"/>
            </w:rPr>
            <w:instrText xml:space="preserve"> HYPERLINK \l _Toc18248 </w:instrText>
          </w:r>
          <w:r>
            <w:rPr>
              <w:rFonts w:hint="eastAsia" w:ascii="Arial" w:hAnsi="Arial" w:eastAsia="宋体" w:cs="Arial"/>
              <w:snapToGrid w:val="0"/>
              <w:kern w:val="0"/>
              <w:szCs w:val="21"/>
              <w:lang w:val="en-US" w:eastAsia="zh-CN"/>
            </w:rPr>
            <w:fldChar w:fldCharType="separate"/>
          </w:r>
          <w:r>
            <w:rPr>
              <w:rFonts w:hint="eastAsia"/>
              <w:lang w:val="en-US" w:eastAsia="zh-CN"/>
            </w:rPr>
            <w:t>5.1</w:t>
          </w:r>
          <w:r>
            <w:rPr>
              <w:rFonts w:hint="eastAsia"/>
            </w:rPr>
            <w:t>建设管理方案</w:t>
          </w:r>
          <w:r>
            <w:tab/>
          </w:r>
          <w:r>
            <w:fldChar w:fldCharType="begin"/>
          </w:r>
          <w:r>
            <w:instrText xml:space="preserve"> PAGEREF _Toc18248 \h </w:instrText>
          </w:r>
          <w:r>
            <w:fldChar w:fldCharType="separate"/>
          </w:r>
          <w:r>
            <w:t>23</w:t>
          </w:r>
          <w:r>
            <w:fldChar w:fldCharType="end"/>
          </w:r>
          <w:r>
            <w:rPr>
              <w:rFonts w:hint="eastAsia" w:ascii="Arial" w:hAnsi="Arial" w:eastAsia="宋体" w:cs="Arial"/>
              <w:snapToGrid w:val="0"/>
              <w:color w:val="auto"/>
              <w:kern w:val="0"/>
              <w:szCs w:val="21"/>
              <w:lang w:val="en-US" w:eastAsia="zh-CN"/>
            </w:rPr>
            <w:fldChar w:fldCharType="end"/>
          </w:r>
        </w:p>
        <w:p w14:paraId="6F87C0E1">
          <w:pPr>
            <w:pStyle w:val="13"/>
            <w:tabs>
              <w:tab w:val="right" w:leader="dot" w:pos="8306"/>
            </w:tabs>
          </w:pPr>
          <w:r>
            <w:rPr>
              <w:rFonts w:hint="eastAsia" w:ascii="Arial" w:hAnsi="Arial" w:eastAsia="宋体" w:cs="Arial"/>
              <w:snapToGrid w:val="0"/>
              <w:color w:val="auto"/>
              <w:kern w:val="0"/>
              <w:szCs w:val="21"/>
              <w:lang w:val="en-US" w:eastAsia="zh-CN"/>
            </w:rPr>
            <w:fldChar w:fldCharType="begin"/>
          </w:r>
          <w:r>
            <w:rPr>
              <w:rFonts w:hint="eastAsia" w:ascii="Arial" w:hAnsi="Arial" w:eastAsia="宋体" w:cs="Arial"/>
              <w:snapToGrid w:val="0"/>
              <w:kern w:val="0"/>
              <w:szCs w:val="21"/>
              <w:lang w:val="en-US" w:eastAsia="zh-CN"/>
            </w:rPr>
            <w:instrText xml:space="preserve"> HYPERLINK \l _Toc21835 </w:instrText>
          </w:r>
          <w:r>
            <w:rPr>
              <w:rFonts w:hint="eastAsia" w:ascii="Arial" w:hAnsi="Arial" w:eastAsia="宋体" w:cs="Arial"/>
              <w:snapToGrid w:val="0"/>
              <w:kern w:val="0"/>
              <w:szCs w:val="21"/>
              <w:lang w:val="en-US" w:eastAsia="zh-CN"/>
            </w:rPr>
            <w:fldChar w:fldCharType="separate"/>
          </w:r>
          <w:r>
            <w:rPr>
              <w:rFonts w:hint="eastAsia"/>
              <w:lang w:val="en-US" w:eastAsia="zh-CN"/>
            </w:rPr>
            <w:t xml:space="preserve">第六章  </w:t>
          </w:r>
          <w:r>
            <w:rPr>
              <w:rFonts w:hint="eastAsia"/>
            </w:rPr>
            <w:t>项目运营方案</w:t>
          </w:r>
          <w:r>
            <w:tab/>
          </w:r>
          <w:r>
            <w:fldChar w:fldCharType="begin"/>
          </w:r>
          <w:r>
            <w:instrText xml:space="preserve"> PAGEREF _Toc21835 \h </w:instrText>
          </w:r>
          <w:r>
            <w:fldChar w:fldCharType="separate"/>
          </w:r>
          <w:r>
            <w:t>26</w:t>
          </w:r>
          <w:r>
            <w:fldChar w:fldCharType="end"/>
          </w:r>
          <w:r>
            <w:rPr>
              <w:rFonts w:hint="eastAsia" w:ascii="Arial" w:hAnsi="Arial" w:eastAsia="宋体" w:cs="Arial"/>
              <w:snapToGrid w:val="0"/>
              <w:color w:val="auto"/>
              <w:kern w:val="0"/>
              <w:szCs w:val="21"/>
              <w:lang w:val="en-US" w:eastAsia="zh-CN"/>
            </w:rPr>
            <w:fldChar w:fldCharType="end"/>
          </w:r>
        </w:p>
        <w:p w14:paraId="622F0D25">
          <w:pPr>
            <w:pStyle w:val="14"/>
            <w:tabs>
              <w:tab w:val="right" w:leader="dot" w:pos="8306"/>
            </w:tabs>
          </w:pPr>
          <w:r>
            <w:rPr>
              <w:rFonts w:hint="eastAsia" w:ascii="Arial" w:hAnsi="Arial" w:eastAsia="宋体" w:cs="Arial"/>
              <w:snapToGrid w:val="0"/>
              <w:color w:val="auto"/>
              <w:kern w:val="0"/>
              <w:szCs w:val="21"/>
              <w:lang w:val="en-US" w:eastAsia="zh-CN"/>
            </w:rPr>
            <w:fldChar w:fldCharType="begin"/>
          </w:r>
          <w:r>
            <w:rPr>
              <w:rFonts w:hint="eastAsia" w:ascii="Arial" w:hAnsi="Arial" w:eastAsia="宋体" w:cs="Arial"/>
              <w:snapToGrid w:val="0"/>
              <w:kern w:val="0"/>
              <w:szCs w:val="21"/>
              <w:lang w:val="en-US" w:eastAsia="zh-CN"/>
            </w:rPr>
            <w:instrText xml:space="preserve"> HYPERLINK \l _Toc3553 </w:instrText>
          </w:r>
          <w:r>
            <w:rPr>
              <w:rFonts w:hint="eastAsia" w:ascii="Arial" w:hAnsi="Arial" w:eastAsia="宋体" w:cs="Arial"/>
              <w:snapToGrid w:val="0"/>
              <w:kern w:val="0"/>
              <w:szCs w:val="21"/>
              <w:lang w:val="en-US" w:eastAsia="zh-CN"/>
            </w:rPr>
            <w:fldChar w:fldCharType="separate"/>
          </w:r>
          <w:r>
            <w:rPr>
              <w:rFonts w:hint="eastAsia"/>
              <w:lang w:val="en-US" w:eastAsia="zh-CN"/>
            </w:rPr>
            <w:t>6.1</w:t>
          </w:r>
          <w:r>
            <w:rPr>
              <w:rFonts w:hint="eastAsia"/>
            </w:rPr>
            <w:t>运营模式选择</w:t>
          </w:r>
          <w:r>
            <w:tab/>
          </w:r>
          <w:r>
            <w:fldChar w:fldCharType="begin"/>
          </w:r>
          <w:r>
            <w:instrText xml:space="preserve"> PAGEREF _Toc3553 \h </w:instrText>
          </w:r>
          <w:r>
            <w:fldChar w:fldCharType="separate"/>
          </w:r>
          <w:r>
            <w:t>26</w:t>
          </w:r>
          <w:r>
            <w:fldChar w:fldCharType="end"/>
          </w:r>
          <w:r>
            <w:rPr>
              <w:rFonts w:hint="eastAsia" w:ascii="Arial" w:hAnsi="Arial" w:eastAsia="宋体" w:cs="Arial"/>
              <w:snapToGrid w:val="0"/>
              <w:color w:val="auto"/>
              <w:kern w:val="0"/>
              <w:szCs w:val="21"/>
              <w:lang w:val="en-US" w:eastAsia="zh-CN"/>
            </w:rPr>
            <w:fldChar w:fldCharType="end"/>
          </w:r>
        </w:p>
        <w:p w14:paraId="2FB0F55B">
          <w:pPr>
            <w:pStyle w:val="14"/>
            <w:tabs>
              <w:tab w:val="right" w:leader="dot" w:pos="8306"/>
            </w:tabs>
          </w:pPr>
          <w:r>
            <w:rPr>
              <w:rFonts w:hint="eastAsia" w:ascii="Arial" w:hAnsi="Arial" w:eastAsia="宋体" w:cs="Arial"/>
              <w:snapToGrid w:val="0"/>
              <w:color w:val="auto"/>
              <w:kern w:val="0"/>
              <w:szCs w:val="21"/>
              <w:lang w:val="en-US" w:eastAsia="zh-CN"/>
            </w:rPr>
            <w:fldChar w:fldCharType="begin"/>
          </w:r>
          <w:r>
            <w:rPr>
              <w:rFonts w:hint="eastAsia" w:ascii="Arial" w:hAnsi="Arial" w:eastAsia="宋体" w:cs="Arial"/>
              <w:snapToGrid w:val="0"/>
              <w:kern w:val="0"/>
              <w:szCs w:val="21"/>
              <w:lang w:val="en-US" w:eastAsia="zh-CN"/>
            </w:rPr>
            <w:instrText xml:space="preserve"> HYPERLINK \l _Toc26099 </w:instrText>
          </w:r>
          <w:r>
            <w:rPr>
              <w:rFonts w:hint="eastAsia" w:ascii="Arial" w:hAnsi="Arial" w:eastAsia="宋体" w:cs="Arial"/>
              <w:snapToGrid w:val="0"/>
              <w:kern w:val="0"/>
              <w:szCs w:val="21"/>
              <w:lang w:val="en-US" w:eastAsia="zh-CN"/>
            </w:rPr>
            <w:fldChar w:fldCharType="separate"/>
          </w:r>
          <w:r>
            <w:rPr>
              <w:rFonts w:hint="eastAsia"/>
              <w:lang w:val="en-US" w:eastAsia="zh-CN"/>
            </w:rPr>
            <w:t>6.2</w:t>
          </w:r>
          <w:r>
            <w:rPr>
              <w:rFonts w:hint="eastAsia"/>
            </w:rPr>
            <w:t>运营组织方案</w:t>
          </w:r>
          <w:r>
            <w:tab/>
          </w:r>
          <w:r>
            <w:fldChar w:fldCharType="begin"/>
          </w:r>
          <w:r>
            <w:instrText xml:space="preserve"> PAGEREF _Toc26099 \h </w:instrText>
          </w:r>
          <w:r>
            <w:fldChar w:fldCharType="separate"/>
          </w:r>
          <w:r>
            <w:t>26</w:t>
          </w:r>
          <w:r>
            <w:fldChar w:fldCharType="end"/>
          </w:r>
          <w:r>
            <w:rPr>
              <w:rFonts w:hint="eastAsia" w:ascii="Arial" w:hAnsi="Arial" w:eastAsia="宋体" w:cs="Arial"/>
              <w:snapToGrid w:val="0"/>
              <w:color w:val="auto"/>
              <w:kern w:val="0"/>
              <w:szCs w:val="21"/>
              <w:lang w:val="en-US" w:eastAsia="zh-CN"/>
            </w:rPr>
            <w:fldChar w:fldCharType="end"/>
          </w:r>
        </w:p>
        <w:p w14:paraId="30CEEC11">
          <w:pPr>
            <w:pStyle w:val="14"/>
            <w:tabs>
              <w:tab w:val="right" w:leader="dot" w:pos="8306"/>
            </w:tabs>
          </w:pPr>
          <w:r>
            <w:rPr>
              <w:rFonts w:hint="eastAsia" w:ascii="Arial" w:hAnsi="Arial" w:eastAsia="宋体" w:cs="Arial"/>
              <w:snapToGrid w:val="0"/>
              <w:color w:val="auto"/>
              <w:kern w:val="0"/>
              <w:szCs w:val="21"/>
              <w:lang w:val="en-US" w:eastAsia="zh-CN"/>
            </w:rPr>
            <w:fldChar w:fldCharType="begin"/>
          </w:r>
          <w:r>
            <w:rPr>
              <w:rFonts w:hint="eastAsia" w:ascii="Arial" w:hAnsi="Arial" w:eastAsia="宋体" w:cs="Arial"/>
              <w:snapToGrid w:val="0"/>
              <w:kern w:val="0"/>
              <w:szCs w:val="21"/>
              <w:lang w:val="en-US" w:eastAsia="zh-CN"/>
            </w:rPr>
            <w:instrText xml:space="preserve"> HYPERLINK \l _Toc6961 </w:instrText>
          </w:r>
          <w:r>
            <w:rPr>
              <w:rFonts w:hint="eastAsia" w:ascii="Arial" w:hAnsi="Arial" w:eastAsia="宋体" w:cs="Arial"/>
              <w:snapToGrid w:val="0"/>
              <w:kern w:val="0"/>
              <w:szCs w:val="21"/>
              <w:lang w:val="en-US" w:eastAsia="zh-CN"/>
            </w:rPr>
            <w:fldChar w:fldCharType="separate"/>
          </w:r>
          <w:r>
            <w:rPr>
              <w:rFonts w:hint="eastAsia"/>
              <w:lang w:val="en-US" w:eastAsia="zh-CN"/>
            </w:rPr>
            <w:t>6.3</w:t>
          </w:r>
          <w:r>
            <w:rPr>
              <w:rFonts w:hint="eastAsia"/>
            </w:rPr>
            <w:t>安全保障方案</w:t>
          </w:r>
          <w:r>
            <w:tab/>
          </w:r>
          <w:r>
            <w:fldChar w:fldCharType="begin"/>
          </w:r>
          <w:r>
            <w:instrText xml:space="preserve"> PAGEREF _Toc6961 \h </w:instrText>
          </w:r>
          <w:r>
            <w:fldChar w:fldCharType="separate"/>
          </w:r>
          <w:r>
            <w:t>27</w:t>
          </w:r>
          <w:r>
            <w:fldChar w:fldCharType="end"/>
          </w:r>
          <w:r>
            <w:rPr>
              <w:rFonts w:hint="eastAsia" w:ascii="Arial" w:hAnsi="Arial" w:eastAsia="宋体" w:cs="Arial"/>
              <w:snapToGrid w:val="0"/>
              <w:color w:val="auto"/>
              <w:kern w:val="0"/>
              <w:szCs w:val="21"/>
              <w:lang w:val="en-US" w:eastAsia="zh-CN"/>
            </w:rPr>
            <w:fldChar w:fldCharType="end"/>
          </w:r>
        </w:p>
        <w:p w14:paraId="5B3EF0DC">
          <w:pPr>
            <w:pStyle w:val="13"/>
            <w:tabs>
              <w:tab w:val="right" w:leader="dot" w:pos="8306"/>
            </w:tabs>
          </w:pPr>
          <w:r>
            <w:rPr>
              <w:rFonts w:hint="eastAsia" w:ascii="Arial" w:hAnsi="Arial" w:eastAsia="宋体" w:cs="Arial"/>
              <w:snapToGrid w:val="0"/>
              <w:color w:val="auto"/>
              <w:kern w:val="0"/>
              <w:szCs w:val="21"/>
              <w:lang w:val="en-US" w:eastAsia="zh-CN"/>
            </w:rPr>
            <w:fldChar w:fldCharType="begin"/>
          </w:r>
          <w:r>
            <w:rPr>
              <w:rFonts w:hint="eastAsia" w:ascii="Arial" w:hAnsi="Arial" w:eastAsia="宋体" w:cs="Arial"/>
              <w:snapToGrid w:val="0"/>
              <w:kern w:val="0"/>
              <w:szCs w:val="21"/>
              <w:lang w:val="en-US" w:eastAsia="zh-CN"/>
            </w:rPr>
            <w:instrText xml:space="preserve"> HYPERLINK \l _Toc14921 </w:instrText>
          </w:r>
          <w:r>
            <w:rPr>
              <w:rFonts w:hint="eastAsia" w:ascii="Arial" w:hAnsi="Arial" w:eastAsia="宋体" w:cs="Arial"/>
              <w:snapToGrid w:val="0"/>
              <w:kern w:val="0"/>
              <w:szCs w:val="21"/>
              <w:lang w:val="en-US" w:eastAsia="zh-CN"/>
            </w:rPr>
            <w:fldChar w:fldCharType="separate"/>
          </w:r>
          <w:r>
            <w:rPr>
              <w:rFonts w:hint="eastAsia"/>
              <w:lang w:val="en-US" w:eastAsia="zh-CN"/>
            </w:rPr>
            <w:t xml:space="preserve">第七章  </w:t>
          </w:r>
          <w:r>
            <w:rPr>
              <w:rFonts w:hint="eastAsia"/>
            </w:rPr>
            <w:t>研究结论及建议</w:t>
          </w:r>
          <w:r>
            <w:tab/>
          </w:r>
          <w:r>
            <w:fldChar w:fldCharType="begin"/>
          </w:r>
          <w:r>
            <w:instrText xml:space="preserve"> PAGEREF _Toc14921 \h </w:instrText>
          </w:r>
          <w:r>
            <w:fldChar w:fldCharType="separate"/>
          </w:r>
          <w:r>
            <w:t>29</w:t>
          </w:r>
          <w:r>
            <w:fldChar w:fldCharType="end"/>
          </w:r>
          <w:r>
            <w:rPr>
              <w:rFonts w:hint="eastAsia" w:ascii="Arial" w:hAnsi="Arial" w:eastAsia="宋体" w:cs="Arial"/>
              <w:snapToGrid w:val="0"/>
              <w:color w:val="auto"/>
              <w:kern w:val="0"/>
              <w:szCs w:val="21"/>
              <w:lang w:val="en-US" w:eastAsia="zh-CN"/>
            </w:rPr>
            <w:fldChar w:fldCharType="end"/>
          </w:r>
        </w:p>
        <w:p w14:paraId="38BEE644">
          <w:pPr>
            <w:pStyle w:val="14"/>
            <w:tabs>
              <w:tab w:val="right" w:leader="dot" w:pos="8306"/>
            </w:tabs>
          </w:pPr>
          <w:r>
            <w:rPr>
              <w:rFonts w:hint="eastAsia" w:ascii="Arial" w:hAnsi="Arial" w:eastAsia="宋体" w:cs="Arial"/>
              <w:snapToGrid w:val="0"/>
              <w:color w:val="auto"/>
              <w:kern w:val="0"/>
              <w:szCs w:val="21"/>
              <w:lang w:val="en-US" w:eastAsia="zh-CN"/>
            </w:rPr>
            <w:fldChar w:fldCharType="begin"/>
          </w:r>
          <w:r>
            <w:rPr>
              <w:rFonts w:hint="eastAsia" w:ascii="Arial" w:hAnsi="Arial" w:eastAsia="宋体" w:cs="Arial"/>
              <w:snapToGrid w:val="0"/>
              <w:kern w:val="0"/>
              <w:szCs w:val="21"/>
              <w:lang w:val="en-US" w:eastAsia="zh-CN"/>
            </w:rPr>
            <w:instrText xml:space="preserve"> HYPERLINK \l _Toc31477 </w:instrText>
          </w:r>
          <w:r>
            <w:rPr>
              <w:rFonts w:hint="eastAsia" w:ascii="Arial" w:hAnsi="Arial" w:eastAsia="宋体" w:cs="Arial"/>
              <w:snapToGrid w:val="0"/>
              <w:kern w:val="0"/>
              <w:szCs w:val="21"/>
              <w:lang w:val="en-US" w:eastAsia="zh-CN"/>
            </w:rPr>
            <w:fldChar w:fldCharType="separate"/>
          </w:r>
          <w:r>
            <w:rPr>
              <w:rFonts w:hint="eastAsia"/>
              <w:lang w:val="en-US" w:eastAsia="zh-CN"/>
            </w:rPr>
            <w:t>7.1研究结论</w:t>
          </w:r>
          <w:r>
            <w:tab/>
          </w:r>
          <w:r>
            <w:fldChar w:fldCharType="begin"/>
          </w:r>
          <w:r>
            <w:instrText xml:space="preserve"> PAGEREF _Toc31477 \h </w:instrText>
          </w:r>
          <w:r>
            <w:fldChar w:fldCharType="separate"/>
          </w:r>
          <w:r>
            <w:t>29</w:t>
          </w:r>
          <w:r>
            <w:fldChar w:fldCharType="end"/>
          </w:r>
          <w:r>
            <w:rPr>
              <w:rFonts w:hint="eastAsia" w:ascii="Arial" w:hAnsi="Arial" w:eastAsia="宋体" w:cs="Arial"/>
              <w:snapToGrid w:val="0"/>
              <w:color w:val="auto"/>
              <w:kern w:val="0"/>
              <w:szCs w:val="21"/>
              <w:lang w:val="en-US" w:eastAsia="zh-CN"/>
            </w:rPr>
            <w:fldChar w:fldCharType="end"/>
          </w:r>
        </w:p>
        <w:p w14:paraId="3CA4123D">
          <w:pPr>
            <w:pStyle w:val="14"/>
            <w:tabs>
              <w:tab w:val="right" w:leader="dot" w:pos="8306"/>
            </w:tabs>
          </w:pPr>
          <w:r>
            <w:rPr>
              <w:rFonts w:hint="eastAsia" w:ascii="Arial" w:hAnsi="Arial" w:eastAsia="宋体" w:cs="Arial"/>
              <w:snapToGrid w:val="0"/>
              <w:color w:val="auto"/>
              <w:kern w:val="0"/>
              <w:szCs w:val="21"/>
              <w:lang w:val="en-US" w:eastAsia="zh-CN"/>
            </w:rPr>
            <w:fldChar w:fldCharType="begin"/>
          </w:r>
          <w:r>
            <w:rPr>
              <w:rFonts w:hint="eastAsia" w:ascii="Arial" w:hAnsi="Arial" w:eastAsia="宋体" w:cs="Arial"/>
              <w:snapToGrid w:val="0"/>
              <w:kern w:val="0"/>
              <w:szCs w:val="21"/>
              <w:lang w:val="en-US" w:eastAsia="zh-CN"/>
            </w:rPr>
            <w:instrText xml:space="preserve"> HYPERLINK \l _Toc4037 </w:instrText>
          </w:r>
          <w:r>
            <w:rPr>
              <w:rFonts w:hint="eastAsia" w:ascii="Arial" w:hAnsi="Arial" w:eastAsia="宋体" w:cs="Arial"/>
              <w:snapToGrid w:val="0"/>
              <w:kern w:val="0"/>
              <w:szCs w:val="21"/>
              <w:lang w:val="en-US" w:eastAsia="zh-CN"/>
            </w:rPr>
            <w:fldChar w:fldCharType="separate"/>
          </w:r>
          <w:r>
            <w:rPr>
              <w:rFonts w:hint="eastAsia"/>
              <w:lang w:val="en-US" w:eastAsia="zh-CN"/>
            </w:rPr>
            <w:t>7.2建议</w:t>
          </w:r>
          <w:r>
            <w:tab/>
          </w:r>
          <w:r>
            <w:fldChar w:fldCharType="begin"/>
          </w:r>
          <w:r>
            <w:instrText xml:space="preserve"> PAGEREF _Toc4037 \h </w:instrText>
          </w:r>
          <w:r>
            <w:fldChar w:fldCharType="separate"/>
          </w:r>
          <w:r>
            <w:t>29</w:t>
          </w:r>
          <w:r>
            <w:fldChar w:fldCharType="end"/>
          </w:r>
          <w:r>
            <w:rPr>
              <w:rFonts w:hint="eastAsia" w:ascii="Arial" w:hAnsi="Arial" w:eastAsia="宋体" w:cs="Arial"/>
              <w:snapToGrid w:val="0"/>
              <w:color w:val="auto"/>
              <w:kern w:val="0"/>
              <w:szCs w:val="21"/>
              <w:lang w:val="en-US" w:eastAsia="zh-CN"/>
            </w:rPr>
            <w:fldChar w:fldCharType="end"/>
          </w:r>
        </w:p>
        <w:p w14:paraId="3377B2F6">
          <w:pPr>
            <w:rPr>
              <w:rFonts w:hint="eastAsia" w:ascii="Arial" w:hAnsi="Arial" w:eastAsia="宋体" w:cs="Arial"/>
              <w:snapToGrid w:val="0"/>
              <w:color w:val="auto"/>
              <w:kern w:val="0"/>
              <w:sz w:val="28"/>
              <w:szCs w:val="21"/>
              <w:lang w:val="en-US" w:eastAsia="zh-CN"/>
            </w:rPr>
          </w:pPr>
          <w:r>
            <w:rPr>
              <w:rFonts w:hint="eastAsia" w:ascii="Arial" w:hAnsi="Arial" w:eastAsia="宋体" w:cs="Arial"/>
              <w:snapToGrid w:val="0"/>
              <w:color w:val="auto"/>
              <w:kern w:val="0"/>
              <w:szCs w:val="21"/>
              <w:lang w:val="en-US" w:eastAsia="zh-CN"/>
            </w:rPr>
            <w:fldChar w:fldCharType="end"/>
          </w:r>
        </w:p>
      </w:sdtContent>
    </w:sdt>
    <w:p w14:paraId="1E6E0B46">
      <w:pPr>
        <w:rPr>
          <w:rFonts w:hint="eastAsia" w:ascii="Arial" w:hAnsi="Arial" w:eastAsia="宋体" w:cs="Arial"/>
          <w:snapToGrid w:val="0"/>
          <w:color w:val="auto"/>
          <w:kern w:val="0"/>
          <w:sz w:val="28"/>
          <w:szCs w:val="21"/>
          <w:lang w:val="en-US" w:eastAsia="zh-CN"/>
        </w:rPr>
        <w:sectPr>
          <w:footerReference r:id="rId5" w:type="default"/>
          <w:pgSz w:w="11906" w:h="16839"/>
          <w:pgMar w:top="1440" w:right="1800" w:bottom="1440" w:left="1800" w:header="1134" w:footer="1134" w:gutter="0"/>
          <w:pgNumType w:fmt="decimal" w:start="1"/>
          <w:cols w:space="720" w:num="1"/>
        </w:sectPr>
      </w:pPr>
    </w:p>
    <w:p w14:paraId="5AB82EFE">
      <w:pPr>
        <w:pStyle w:val="2"/>
        <w:keepNext/>
        <w:keepLines/>
        <w:pageBreakBefore w:val="0"/>
        <w:widowControl/>
        <w:kinsoku/>
        <w:wordWrap w:val="0"/>
        <w:overflowPunct/>
        <w:topLinePunct/>
        <w:autoSpaceDE/>
        <w:autoSpaceDN/>
        <w:bidi w:val="0"/>
        <w:adjustRightInd w:val="0"/>
        <w:snapToGrid w:val="0"/>
        <w:spacing w:line="600" w:lineRule="exact"/>
        <w:jc w:val="center"/>
        <w:textAlignment w:val="baseline"/>
        <w:rPr>
          <w:rFonts w:hint="eastAsia" w:ascii="宋体" w:hAnsi="宋体" w:eastAsia="宋体" w:cs="宋体"/>
          <w:color w:val="auto"/>
          <w:spacing w:val="0"/>
        </w:rPr>
      </w:pPr>
      <w:bookmarkStart w:id="13" w:name="_Toc3396"/>
      <w:bookmarkStart w:id="14" w:name="_Toc4462"/>
      <w:bookmarkStart w:id="15" w:name="_Toc5561"/>
      <w:r>
        <w:rPr>
          <w:rFonts w:hint="eastAsia" w:ascii="宋体" w:hAnsi="宋体" w:eastAsia="宋体" w:cs="宋体"/>
          <w:color w:val="auto"/>
          <w:spacing w:val="0"/>
          <w:lang w:val="en-US" w:eastAsia="zh-CN"/>
        </w:rPr>
        <w:t xml:space="preserve">第一章  </w:t>
      </w:r>
      <w:r>
        <w:rPr>
          <w:rFonts w:hint="eastAsia" w:ascii="宋体" w:hAnsi="宋体" w:eastAsia="宋体" w:cs="宋体"/>
          <w:color w:val="auto"/>
          <w:spacing w:val="0"/>
        </w:rPr>
        <w:t>概述</w:t>
      </w:r>
      <w:bookmarkEnd w:id="13"/>
      <w:bookmarkEnd w:id="14"/>
      <w:bookmarkEnd w:id="15"/>
    </w:p>
    <w:p w14:paraId="66E4F945">
      <w:pPr>
        <w:pStyle w:val="3"/>
        <w:keepNext/>
        <w:keepLines/>
        <w:pageBreakBefore w:val="0"/>
        <w:widowControl/>
        <w:kinsoku/>
        <w:wordWrap w:val="0"/>
        <w:overflowPunct/>
        <w:topLinePunct/>
        <w:autoSpaceDE/>
        <w:autoSpaceDN/>
        <w:bidi w:val="0"/>
        <w:adjustRightInd w:val="0"/>
        <w:snapToGrid w:val="0"/>
        <w:spacing w:line="600" w:lineRule="exact"/>
        <w:textAlignment w:val="baseline"/>
        <w:rPr>
          <w:rFonts w:hint="eastAsia" w:ascii="宋体" w:hAnsi="宋体" w:eastAsia="宋体" w:cs="宋体"/>
          <w:color w:val="auto"/>
          <w:spacing w:val="0"/>
        </w:rPr>
      </w:pPr>
      <w:bookmarkStart w:id="16" w:name="_Toc27433"/>
      <w:bookmarkStart w:id="17" w:name="_Toc28153"/>
      <w:bookmarkStart w:id="18" w:name="_Toc22344"/>
      <w:bookmarkStart w:id="19" w:name="_Toc3417"/>
      <w:bookmarkStart w:id="20" w:name="_Toc11085"/>
      <w:bookmarkStart w:id="21" w:name="_Toc31837"/>
      <w:bookmarkStart w:id="22" w:name="_Toc26278"/>
      <w:bookmarkStart w:id="23" w:name="_Toc6067"/>
      <w:bookmarkStart w:id="24" w:name="_Toc12674"/>
      <w:bookmarkStart w:id="25" w:name="_Toc23762"/>
      <w:bookmarkStart w:id="26" w:name="_Toc22207"/>
      <w:bookmarkStart w:id="27" w:name="_Toc2749"/>
      <w:r>
        <w:rPr>
          <w:rFonts w:hint="eastAsia" w:ascii="宋体" w:hAnsi="宋体" w:eastAsia="宋体" w:cs="宋体"/>
          <w:color w:val="auto"/>
          <w:spacing w:val="0"/>
          <w:lang w:val="en-US" w:eastAsia="zh-CN"/>
        </w:rPr>
        <w:t>1.1</w:t>
      </w:r>
      <w:r>
        <w:rPr>
          <w:rFonts w:hint="eastAsia" w:ascii="宋体" w:hAnsi="宋体" w:eastAsia="宋体" w:cs="宋体"/>
          <w:color w:val="auto"/>
          <w:spacing w:val="0"/>
        </w:rPr>
        <w:t>项目概况</w:t>
      </w:r>
      <w:bookmarkEnd w:id="16"/>
      <w:bookmarkEnd w:id="17"/>
      <w:bookmarkEnd w:id="18"/>
      <w:bookmarkEnd w:id="19"/>
      <w:bookmarkEnd w:id="20"/>
      <w:bookmarkEnd w:id="21"/>
      <w:bookmarkEnd w:id="22"/>
      <w:bookmarkEnd w:id="23"/>
      <w:bookmarkEnd w:id="24"/>
      <w:bookmarkEnd w:id="25"/>
      <w:bookmarkEnd w:id="26"/>
      <w:bookmarkEnd w:id="27"/>
    </w:p>
    <w:p w14:paraId="47A27D21">
      <w:pPr>
        <w:pageBreakBefore w:val="0"/>
        <w:widowControl/>
        <w:kinsoku/>
        <w:wordWrap w:val="0"/>
        <w:overflowPunct/>
        <w:topLinePunct/>
        <w:autoSpaceDE/>
        <w:autoSpaceDN/>
        <w:bidi w:val="0"/>
        <w:rPr>
          <w:rFonts w:hint="eastAsia"/>
          <w:color w:val="auto"/>
          <w:spacing w:val="0"/>
          <w:lang w:val="en-US" w:eastAsia="zh-CN"/>
        </w:rPr>
      </w:pPr>
      <w:r>
        <w:rPr>
          <w:rFonts w:hint="eastAsia"/>
          <w:color w:val="auto"/>
          <w:spacing w:val="0"/>
        </w:rPr>
        <w:t>项目名称：</w:t>
      </w:r>
      <w:r>
        <w:rPr>
          <w:rFonts w:hint="eastAsia"/>
          <w:color w:val="auto"/>
          <w:spacing w:val="0"/>
          <w:lang w:val="en-US" w:eastAsia="zh-CN"/>
        </w:rPr>
        <w:t>扬州华璟养老产业有限公司GZ768地块康养项目</w:t>
      </w:r>
    </w:p>
    <w:p w14:paraId="3EAC92EC">
      <w:pPr>
        <w:pageBreakBefore w:val="0"/>
        <w:widowControl/>
        <w:kinsoku/>
        <w:wordWrap w:val="0"/>
        <w:overflowPunct/>
        <w:topLinePunct/>
        <w:autoSpaceDE/>
        <w:autoSpaceDN/>
        <w:bidi w:val="0"/>
        <w:rPr>
          <w:color w:val="auto"/>
          <w:spacing w:val="0"/>
        </w:rPr>
      </w:pPr>
      <w:r>
        <w:rPr>
          <w:color w:val="auto"/>
          <w:spacing w:val="0"/>
        </w:rPr>
        <w:t>建设地点：</w:t>
      </w:r>
      <w:r>
        <w:rPr>
          <w:rFonts w:hint="eastAsia"/>
          <w:color w:val="auto"/>
          <w:spacing w:val="0"/>
          <w:lang w:eastAsia="zh-CN"/>
        </w:rPr>
        <w:t>扬州华璟养老产业有限公司GZ768地块康养项目位于邗江区，东至维扬路，南至友好医院，西至规划用地，北至邗杨路。</w:t>
      </w:r>
    </w:p>
    <w:p w14:paraId="20AA89F5">
      <w:pPr>
        <w:pageBreakBefore w:val="0"/>
        <w:widowControl/>
        <w:kinsoku/>
        <w:wordWrap w:val="0"/>
        <w:overflowPunct/>
        <w:topLinePunct/>
        <w:autoSpaceDE/>
        <w:autoSpaceDN/>
        <w:bidi w:val="0"/>
        <w:rPr>
          <w:rFonts w:hint="eastAsia"/>
          <w:color w:val="auto"/>
          <w:spacing w:val="0"/>
          <w:lang w:val="en-US" w:eastAsia="zh-CN"/>
        </w:rPr>
      </w:pPr>
      <w:r>
        <w:rPr>
          <w:rFonts w:hint="eastAsia"/>
          <w:color w:val="auto"/>
          <w:spacing w:val="0"/>
        </w:rPr>
        <w:t>建设内容</w:t>
      </w:r>
      <w:r>
        <w:rPr>
          <w:rFonts w:hint="eastAsia"/>
          <w:color w:val="auto"/>
          <w:spacing w:val="0"/>
          <w:lang w:eastAsia="zh-CN"/>
        </w:rPr>
        <w:t>和</w:t>
      </w:r>
      <w:r>
        <w:rPr>
          <w:rFonts w:hint="eastAsia"/>
          <w:color w:val="auto"/>
          <w:spacing w:val="0"/>
        </w:rPr>
        <w:t>规模</w:t>
      </w:r>
      <w:r>
        <w:rPr>
          <w:rFonts w:hint="eastAsia"/>
          <w:color w:val="auto"/>
          <w:spacing w:val="0"/>
          <w:lang w:eastAsia="zh-CN"/>
        </w:rPr>
        <w:t>：</w:t>
      </w:r>
      <w:r>
        <w:rPr>
          <w:rFonts w:hint="eastAsia"/>
          <w:color w:val="auto"/>
          <w:spacing w:val="0"/>
          <w:lang w:val="en-US" w:eastAsia="zh-CN"/>
        </w:rPr>
        <w:t>项目总用地面积13532平方米，项目总计容面积24357.6平方米，其中地上计容面积22537.6平方米，地下计容面积1820平方米。同步实施景观绿化、健康步道、综合管网及道路等配套设施。</w:t>
      </w:r>
    </w:p>
    <w:p w14:paraId="056C37E7">
      <w:pPr>
        <w:pageBreakBefore w:val="0"/>
        <w:widowControl/>
        <w:kinsoku/>
        <w:wordWrap w:val="0"/>
        <w:overflowPunct/>
        <w:topLinePunct/>
        <w:autoSpaceDE/>
        <w:autoSpaceDN/>
        <w:bidi w:val="0"/>
        <w:rPr>
          <w:rFonts w:hint="default"/>
          <w:color w:val="auto"/>
          <w:spacing w:val="0"/>
          <w:lang w:val="en-US" w:eastAsia="zh-CN"/>
        </w:rPr>
      </w:pPr>
      <w:r>
        <w:rPr>
          <w:rFonts w:hint="eastAsia"/>
          <w:color w:val="auto"/>
          <w:spacing w:val="0"/>
          <w:lang w:val="en-US" w:eastAsia="zh-CN"/>
        </w:rPr>
        <w:t>投资总额：30000.17万元</w:t>
      </w:r>
    </w:p>
    <w:p w14:paraId="17A78515">
      <w:pPr>
        <w:pageBreakBefore w:val="0"/>
        <w:widowControl/>
        <w:kinsoku/>
        <w:wordWrap w:val="0"/>
        <w:overflowPunct/>
        <w:topLinePunct/>
        <w:autoSpaceDE/>
        <w:autoSpaceDN/>
        <w:bidi w:val="0"/>
        <w:rPr>
          <w:rFonts w:hint="default"/>
          <w:color w:val="auto"/>
          <w:spacing w:val="0"/>
          <w:lang w:val="en-US" w:eastAsia="zh-CN"/>
        </w:rPr>
      </w:pPr>
      <w:r>
        <w:rPr>
          <w:rFonts w:hint="eastAsia"/>
          <w:color w:val="auto"/>
          <w:spacing w:val="0"/>
          <w:lang w:val="en-US" w:eastAsia="zh-CN"/>
        </w:rPr>
        <w:t>建设期：项目建设周期为2年</w:t>
      </w:r>
    </w:p>
    <w:p w14:paraId="4D4E1133">
      <w:pPr>
        <w:pageBreakBefore w:val="0"/>
        <w:widowControl/>
        <w:kinsoku/>
        <w:wordWrap w:val="0"/>
        <w:overflowPunct/>
        <w:topLinePunct/>
        <w:autoSpaceDE/>
        <w:autoSpaceDN/>
        <w:bidi w:val="0"/>
        <w:rPr>
          <w:rFonts w:hint="eastAsia"/>
          <w:color w:val="auto"/>
          <w:lang w:val="en-US" w:eastAsia="zh-CN"/>
        </w:rPr>
      </w:pPr>
      <w:r>
        <w:rPr>
          <w:rFonts w:hint="eastAsia"/>
          <w:color w:val="auto"/>
          <w:spacing w:val="0"/>
          <w:lang w:val="en-US" w:eastAsia="zh-CN"/>
        </w:rPr>
        <w:t>建设单位：扬州华璟养老产业有限公司</w:t>
      </w:r>
    </w:p>
    <w:p w14:paraId="638AD28C">
      <w:pPr>
        <w:pageBreakBefore w:val="0"/>
        <w:widowControl/>
        <w:kinsoku/>
        <w:wordWrap w:val="0"/>
        <w:overflowPunct/>
        <w:topLinePunct/>
        <w:autoSpaceDE/>
        <w:autoSpaceDN/>
        <w:bidi w:val="0"/>
        <w:rPr>
          <w:rFonts w:hint="eastAsia"/>
          <w:color w:val="auto"/>
          <w:spacing w:val="0"/>
        </w:rPr>
      </w:pPr>
      <w:r>
        <w:rPr>
          <w:rFonts w:hint="eastAsia"/>
          <w:color w:val="auto"/>
          <w:spacing w:val="0"/>
          <w:lang w:val="en-US" w:eastAsia="zh-CN"/>
        </w:rPr>
        <w:t>项目以融合之家、</w:t>
      </w:r>
      <w:r>
        <w:rPr>
          <w:rFonts w:hint="default"/>
          <w:color w:val="auto"/>
          <w:spacing w:val="0"/>
          <w:lang w:val="en-US" w:eastAsia="zh-CN"/>
        </w:rPr>
        <w:t>交往之家</w:t>
      </w:r>
      <w:r>
        <w:rPr>
          <w:rFonts w:hint="eastAsia"/>
          <w:color w:val="auto"/>
          <w:spacing w:val="0"/>
          <w:lang w:val="en-US" w:eastAsia="zh-CN"/>
        </w:rPr>
        <w:t>、</w:t>
      </w:r>
      <w:r>
        <w:rPr>
          <w:rFonts w:hint="default"/>
          <w:color w:val="auto"/>
          <w:spacing w:val="0"/>
          <w:lang w:val="en-US" w:eastAsia="zh-CN"/>
        </w:rPr>
        <w:t>照护之家</w:t>
      </w:r>
      <w:r>
        <w:rPr>
          <w:rFonts w:hint="eastAsia"/>
          <w:color w:val="auto"/>
          <w:spacing w:val="0"/>
          <w:lang w:val="en-US" w:eastAsia="zh-CN"/>
        </w:rPr>
        <w:t>、</w:t>
      </w:r>
      <w:r>
        <w:rPr>
          <w:rFonts w:hint="default"/>
          <w:color w:val="auto"/>
          <w:spacing w:val="0"/>
          <w:lang w:val="en-US" w:eastAsia="zh-CN"/>
        </w:rPr>
        <w:t>自然之家为主题，通过不同类型的功能设置，对应不同种类、不同形态老人的生活空间</w:t>
      </w:r>
      <w:r>
        <w:rPr>
          <w:rFonts w:hint="eastAsia"/>
          <w:color w:val="auto"/>
          <w:spacing w:val="0"/>
          <w:lang w:val="en-US" w:eastAsia="zh-CN"/>
        </w:rPr>
        <w:t>。</w:t>
      </w:r>
      <w:r>
        <w:rPr>
          <w:rFonts w:hint="default"/>
          <w:color w:val="auto"/>
          <w:spacing w:val="0"/>
          <w:lang w:val="en-US" w:eastAsia="zh-CN"/>
        </w:rPr>
        <w:t>地块南侧距离医院较近，设置照护社区，结合失能照护、失智照护、康复护理三大功能，提供多样化、专业化的护理服务</w:t>
      </w:r>
      <w:r>
        <w:rPr>
          <w:rFonts w:hint="eastAsia"/>
          <w:color w:val="auto"/>
          <w:spacing w:val="0"/>
          <w:lang w:val="en-US" w:eastAsia="zh-CN"/>
        </w:rPr>
        <w:t>。</w:t>
      </w:r>
      <w:r>
        <w:rPr>
          <w:rFonts w:hint="default"/>
          <w:color w:val="auto"/>
          <w:spacing w:val="0"/>
          <w:lang w:val="en-US" w:eastAsia="zh-CN"/>
        </w:rPr>
        <w:t>地块北侧视野良好，距离北侧商业、配套及博物馆较近，设置活力社区，针对自理、半失能老人提供老年公寓及其配套设施。</w:t>
      </w:r>
    </w:p>
    <w:p w14:paraId="73AE9A9F">
      <w:pPr>
        <w:pStyle w:val="3"/>
        <w:pageBreakBefore w:val="0"/>
        <w:widowControl/>
        <w:kinsoku/>
        <w:wordWrap w:val="0"/>
        <w:overflowPunct/>
        <w:topLinePunct/>
        <w:autoSpaceDE/>
        <w:autoSpaceDN/>
        <w:bidi w:val="0"/>
        <w:rPr>
          <w:rFonts w:hint="eastAsia"/>
          <w:color w:val="auto"/>
          <w:spacing w:val="0"/>
          <w:lang w:val="en-US" w:eastAsia="zh-CN"/>
        </w:rPr>
      </w:pPr>
      <w:bookmarkStart w:id="28" w:name="_Toc28480"/>
      <w:bookmarkStart w:id="29" w:name="_Toc4712"/>
      <w:bookmarkStart w:id="30" w:name="_Toc19914"/>
      <w:bookmarkStart w:id="31" w:name="_Toc20461"/>
      <w:bookmarkStart w:id="32" w:name="_Toc32450"/>
      <w:r>
        <w:rPr>
          <w:rFonts w:hint="eastAsia"/>
          <w:color w:val="auto"/>
          <w:spacing w:val="0"/>
          <w:lang w:val="en-US" w:eastAsia="zh-CN"/>
        </w:rPr>
        <w:t>1.2项目单位概况</w:t>
      </w:r>
      <w:bookmarkEnd w:id="28"/>
      <w:bookmarkEnd w:id="29"/>
      <w:bookmarkEnd w:id="30"/>
      <w:bookmarkEnd w:id="31"/>
      <w:bookmarkEnd w:id="32"/>
    </w:p>
    <w:p w14:paraId="4A1D9B3B">
      <w:pPr>
        <w:pageBreakBefore w:val="0"/>
        <w:widowControl/>
        <w:kinsoku/>
        <w:wordWrap w:val="0"/>
        <w:overflowPunct/>
        <w:topLinePunct/>
        <w:autoSpaceDE/>
        <w:autoSpaceDN/>
        <w:bidi w:val="0"/>
        <w:ind w:left="0" w:leftChars="0" w:firstLine="560" w:firstLineChars="200"/>
        <w:rPr>
          <w:rFonts w:hint="eastAsia"/>
          <w:color w:val="auto"/>
          <w:spacing w:val="0"/>
          <w:lang w:eastAsia="zh-CN"/>
        </w:rPr>
      </w:pPr>
      <w:r>
        <w:rPr>
          <w:rFonts w:hint="eastAsia"/>
          <w:color w:val="auto"/>
          <w:spacing w:val="0"/>
          <w:lang w:eastAsia="zh-CN"/>
        </w:rPr>
        <w:t>扬州华璟养老产业有限公司成立于2025-08-25，法定代表人为费海丰，注册资本为6000万元，统一社会信用代码为91321003MAEUK8L39L，企业注册地址位于扬州市邗江区四望亭路422号4楼，所属行业为社会工作，经营范围包含：许可项目：房地产开发经营（依法须经批准的项目，经相关部门批准后方可开展经营活动，具体经营项目以审批结果为准）</w:t>
      </w:r>
    </w:p>
    <w:p w14:paraId="38854237">
      <w:pPr>
        <w:pageBreakBefore w:val="0"/>
        <w:widowControl/>
        <w:kinsoku/>
        <w:wordWrap w:val="0"/>
        <w:overflowPunct/>
        <w:topLinePunct/>
        <w:autoSpaceDE/>
        <w:autoSpaceDN/>
        <w:bidi w:val="0"/>
        <w:ind w:left="0" w:leftChars="0" w:firstLine="560" w:firstLineChars="200"/>
        <w:rPr>
          <w:rFonts w:hint="eastAsia"/>
          <w:color w:val="auto"/>
          <w:spacing w:val="0"/>
        </w:rPr>
      </w:pPr>
      <w:r>
        <w:rPr>
          <w:rFonts w:hint="eastAsia"/>
          <w:color w:val="auto"/>
          <w:spacing w:val="0"/>
          <w:lang w:eastAsia="zh-CN"/>
        </w:rPr>
        <w:t>一般项目：养老服务（机构养老服务）；养老服务（社区养老服务）；养老服务（居家养老服务）；养老服务；物业管理；非居住房地产租赁；住房租赁；商业综合体管理服务；护理机构服务（不含医疗服务）；养生保健服务（非医疗）；健康咨询服务（不含诊疗服务）；康复辅具适配服务；家政服务（除依法须经批准的项目外，凭营业执照依法自主开展经营活动）。</w:t>
      </w:r>
    </w:p>
    <w:p w14:paraId="0CBC8099">
      <w:pPr>
        <w:pStyle w:val="3"/>
        <w:pageBreakBefore w:val="0"/>
        <w:widowControl/>
        <w:kinsoku/>
        <w:wordWrap w:val="0"/>
        <w:overflowPunct/>
        <w:topLinePunct/>
        <w:autoSpaceDE/>
        <w:autoSpaceDN/>
        <w:bidi w:val="0"/>
        <w:rPr>
          <w:rFonts w:hint="eastAsia"/>
          <w:color w:val="auto"/>
          <w:spacing w:val="0"/>
          <w:lang w:val="en-US" w:eastAsia="zh-CN"/>
        </w:rPr>
      </w:pPr>
      <w:bookmarkStart w:id="33" w:name="_Toc27295"/>
      <w:bookmarkStart w:id="34" w:name="_Toc4279"/>
      <w:bookmarkStart w:id="35" w:name="_Toc20792"/>
      <w:bookmarkStart w:id="36" w:name="_Toc24030"/>
      <w:bookmarkStart w:id="37" w:name="_Toc28103"/>
      <w:bookmarkStart w:id="38" w:name="_Toc23750"/>
      <w:bookmarkStart w:id="39" w:name="_Toc24327"/>
      <w:bookmarkStart w:id="40" w:name="_Toc13201"/>
      <w:bookmarkStart w:id="41" w:name="_Toc31411"/>
      <w:bookmarkStart w:id="42" w:name="_Toc6023"/>
      <w:bookmarkStart w:id="43" w:name="_Toc8220"/>
      <w:bookmarkStart w:id="44" w:name="_Toc17652"/>
      <w:r>
        <w:rPr>
          <w:rFonts w:hint="eastAsia"/>
          <w:color w:val="auto"/>
          <w:spacing w:val="0"/>
          <w:lang w:val="en-US" w:eastAsia="zh-CN"/>
        </w:rPr>
        <w:t>1.3</w:t>
      </w:r>
      <w:r>
        <w:rPr>
          <w:rFonts w:hint="eastAsia"/>
          <w:color w:val="auto"/>
          <w:spacing w:val="0"/>
        </w:rPr>
        <w:t>编制依据</w:t>
      </w:r>
      <w:bookmarkEnd w:id="33"/>
      <w:bookmarkEnd w:id="34"/>
      <w:bookmarkEnd w:id="35"/>
      <w:bookmarkEnd w:id="36"/>
      <w:bookmarkEnd w:id="37"/>
      <w:bookmarkEnd w:id="38"/>
      <w:bookmarkEnd w:id="39"/>
      <w:bookmarkEnd w:id="40"/>
      <w:bookmarkEnd w:id="41"/>
      <w:bookmarkEnd w:id="42"/>
      <w:bookmarkEnd w:id="43"/>
      <w:bookmarkEnd w:id="44"/>
    </w:p>
    <w:p w14:paraId="365454AE">
      <w:pPr>
        <w:pageBreakBefore w:val="0"/>
        <w:widowControl/>
        <w:kinsoku/>
        <w:wordWrap w:val="0"/>
        <w:overflowPunct/>
        <w:topLinePunct/>
        <w:autoSpaceDE/>
        <w:autoSpaceDN/>
        <w:bidi w:val="0"/>
        <w:rPr>
          <w:rFonts w:hint="eastAsia"/>
          <w:color w:val="auto"/>
          <w:spacing w:val="0"/>
        </w:rPr>
      </w:pPr>
      <w:bookmarkStart w:id="45" w:name="_Toc31540"/>
      <w:bookmarkStart w:id="46" w:name="_Toc31731"/>
      <w:bookmarkStart w:id="47" w:name="_Toc2254"/>
      <w:bookmarkStart w:id="48" w:name="_Toc10608"/>
      <w:bookmarkStart w:id="49" w:name="_Toc28763"/>
      <w:r>
        <w:rPr>
          <w:rFonts w:hint="eastAsia"/>
          <w:color w:val="auto"/>
          <w:spacing w:val="0"/>
        </w:rPr>
        <w:t>本可行性研究报告编制依据是中华人民共和国公布的有关法律、法规等，可研报告的资料和数据来自扬州市有关部门和项目建设单位提供或认可的资料、文件及本单位调查研究得到的资料和信息。可行性研究报告编制依据包括：</w:t>
      </w:r>
    </w:p>
    <w:p w14:paraId="49304205">
      <w:pPr>
        <w:pageBreakBefore w:val="0"/>
        <w:widowControl/>
        <w:kinsoku/>
        <w:wordWrap w:val="0"/>
        <w:overflowPunct/>
        <w:topLinePunct/>
        <w:autoSpaceDE/>
        <w:autoSpaceDN/>
        <w:bidi w:val="0"/>
        <w:rPr>
          <w:rFonts w:hint="eastAsia"/>
          <w:color w:val="auto"/>
          <w:spacing w:val="0"/>
        </w:rPr>
      </w:pPr>
      <w:r>
        <w:rPr>
          <w:rFonts w:hint="eastAsia"/>
          <w:color w:val="auto"/>
          <w:spacing w:val="0"/>
        </w:rPr>
        <w:t>1、《中华人民共和国国民经济和社会发展第十四个五年规划和2035年远景目标纲要》；</w:t>
      </w:r>
    </w:p>
    <w:p w14:paraId="5537700C">
      <w:pPr>
        <w:pageBreakBefore w:val="0"/>
        <w:widowControl/>
        <w:kinsoku/>
        <w:wordWrap w:val="0"/>
        <w:overflowPunct/>
        <w:topLinePunct/>
        <w:autoSpaceDE/>
        <w:autoSpaceDN/>
        <w:bidi w:val="0"/>
        <w:rPr>
          <w:rFonts w:hint="eastAsia"/>
          <w:color w:val="auto"/>
          <w:spacing w:val="0"/>
        </w:rPr>
      </w:pPr>
      <w:r>
        <w:rPr>
          <w:rFonts w:hint="eastAsia"/>
          <w:color w:val="auto"/>
          <w:spacing w:val="0"/>
        </w:rPr>
        <w:t>2、《江苏省国民经济和社会发展第十四个五年规划和二〇三五年远景目标纲要》</w:t>
      </w:r>
    </w:p>
    <w:p w14:paraId="60212E82">
      <w:pPr>
        <w:pageBreakBefore w:val="0"/>
        <w:widowControl/>
        <w:kinsoku/>
        <w:wordWrap w:val="0"/>
        <w:overflowPunct/>
        <w:topLinePunct/>
        <w:autoSpaceDE/>
        <w:autoSpaceDN/>
        <w:bidi w:val="0"/>
        <w:rPr>
          <w:rFonts w:hint="eastAsia"/>
          <w:color w:val="auto"/>
          <w:spacing w:val="0"/>
        </w:rPr>
      </w:pPr>
      <w:r>
        <w:rPr>
          <w:rFonts w:hint="eastAsia"/>
          <w:color w:val="auto"/>
          <w:spacing w:val="0"/>
        </w:rPr>
        <w:t>3、《扬州市国民经济和社会发展第十四个五年规划和二〇三五年远景目标纲要》；</w:t>
      </w:r>
    </w:p>
    <w:p w14:paraId="19BF35DD">
      <w:pPr>
        <w:pageBreakBefore w:val="0"/>
        <w:widowControl/>
        <w:kinsoku/>
        <w:wordWrap w:val="0"/>
        <w:overflowPunct/>
        <w:topLinePunct/>
        <w:autoSpaceDE/>
        <w:autoSpaceDN/>
        <w:bidi w:val="0"/>
        <w:rPr>
          <w:rFonts w:hint="eastAsia"/>
          <w:color w:val="auto"/>
          <w:spacing w:val="0"/>
        </w:rPr>
      </w:pPr>
      <w:r>
        <w:rPr>
          <w:rFonts w:hint="eastAsia"/>
          <w:color w:val="auto"/>
          <w:spacing w:val="0"/>
        </w:rPr>
        <w:t>4、《建设项目经济评价方法与参数（第三版）》；</w:t>
      </w:r>
    </w:p>
    <w:p w14:paraId="25CC9325">
      <w:pPr>
        <w:pageBreakBefore w:val="0"/>
        <w:widowControl/>
        <w:kinsoku/>
        <w:wordWrap w:val="0"/>
        <w:overflowPunct/>
        <w:topLinePunct/>
        <w:autoSpaceDE/>
        <w:autoSpaceDN/>
        <w:bidi w:val="0"/>
        <w:rPr>
          <w:rFonts w:hint="eastAsia"/>
          <w:color w:val="auto"/>
          <w:spacing w:val="0"/>
        </w:rPr>
      </w:pPr>
      <w:r>
        <w:rPr>
          <w:rFonts w:hint="eastAsia"/>
          <w:color w:val="auto"/>
          <w:spacing w:val="0"/>
        </w:rPr>
        <w:t>5、《政府投资项目可行性研究报告编写通用大纲》（2023年版）；</w:t>
      </w:r>
    </w:p>
    <w:p w14:paraId="7CF2337F">
      <w:pPr>
        <w:pageBreakBefore w:val="0"/>
        <w:widowControl/>
        <w:kinsoku/>
        <w:wordWrap w:val="0"/>
        <w:overflowPunct/>
        <w:topLinePunct/>
        <w:autoSpaceDE/>
        <w:autoSpaceDN/>
        <w:bidi w:val="0"/>
        <w:rPr>
          <w:rFonts w:hint="eastAsia"/>
          <w:color w:val="auto"/>
          <w:spacing w:val="0"/>
        </w:rPr>
      </w:pPr>
      <w:r>
        <w:rPr>
          <w:rFonts w:hint="eastAsia"/>
          <w:color w:val="auto"/>
          <w:spacing w:val="0"/>
        </w:rPr>
        <w:t>6、项目建设单位提供的有关资料；</w:t>
      </w:r>
    </w:p>
    <w:p w14:paraId="51709C31">
      <w:pPr>
        <w:pageBreakBefore w:val="0"/>
        <w:widowControl/>
        <w:kinsoku/>
        <w:wordWrap w:val="0"/>
        <w:overflowPunct/>
        <w:topLinePunct/>
        <w:autoSpaceDE/>
        <w:autoSpaceDN/>
        <w:bidi w:val="0"/>
        <w:rPr>
          <w:rFonts w:hint="eastAsia"/>
          <w:color w:val="auto"/>
          <w:spacing w:val="0"/>
        </w:rPr>
      </w:pPr>
      <w:r>
        <w:rPr>
          <w:rFonts w:hint="eastAsia"/>
          <w:color w:val="auto"/>
          <w:spacing w:val="0"/>
        </w:rPr>
        <w:t>7、研究过程中实际调查及收集的其它资料；</w:t>
      </w:r>
    </w:p>
    <w:p w14:paraId="52B44079">
      <w:pPr>
        <w:pageBreakBefore w:val="0"/>
        <w:widowControl/>
        <w:kinsoku/>
        <w:wordWrap w:val="0"/>
        <w:overflowPunct/>
        <w:topLinePunct/>
        <w:autoSpaceDE/>
        <w:autoSpaceDN/>
        <w:bidi w:val="0"/>
        <w:rPr>
          <w:rFonts w:hint="eastAsia"/>
          <w:color w:val="auto"/>
          <w:spacing w:val="0"/>
        </w:rPr>
      </w:pPr>
      <w:r>
        <w:rPr>
          <w:rFonts w:hint="eastAsia"/>
          <w:color w:val="auto"/>
          <w:spacing w:val="0"/>
        </w:rPr>
        <w:t>8、本项目适用的国家及地方标准、规范等；</w:t>
      </w:r>
    </w:p>
    <w:p w14:paraId="2584AD68">
      <w:pPr>
        <w:pageBreakBefore w:val="0"/>
        <w:widowControl/>
        <w:kinsoku/>
        <w:wordWrap w:val="0"/>
        <w:overflowPunct/>
        <w:topLinePunct/>
        <w:autoSpaceDE/>
        <w:autoSpaceDN/>
        <w:bidi w:val="0"/>
        <w:rPr>
          <w:rFonts w:hint="eastAsia"/>
          <w:color w:val="auto"/>
          <w:spacing w:val="0"/>
        </w:rPr>
      </w:pPr>
      <w:r>
        <w:rPr>
          <w:rFonts w:hint="eastAsia"/>
          <w:color w:val="auto"/>
          <w:spacing w:val="0"/>
        </w:rPr>
        <w:t>9、其他调查和收集的相关社会经济、交通运输及自然条件等相关资料。</w:t>
      </w:r>
    </w:p>
    <w:p w14:paraId="41D0DE96">
      <w:pPr>
        <w:pStyle w:val="4"/>
        <w:bidi w:val="0"/>
        <w:outlineLvl w:val="1"/>
        <w:rPr>
          <w:rFonts w:hint="eastAsia"/>
          <w:color w:val="auto"/>
        </w:rPr>
      </w:pPr>
      <w:bookmarkStart w:id="50" w:name="_Toc2604"/>
      <w:bookmarkStart w:id="51" w:name="_Toc9778"/>
      <w:bookmarkStart w:id="52" w:name="_Toc17789"/>
      <w:bookmarkStart w:id="53" w:name="_Toc1066"/>
      <w:bookmarkStart w:id="54" w:name="_Toc19265"/>
      <w:bookmarkStart w:id="55" w:name="_Toc16154"/>
      <w:bookmarkStart w:id="56" w:name="_Toc31053"/>
      <w:r>
        <w:rPr>
          <w:rFonts w:hint="eastAsia"/>
          <w:color w:val="auto"/>
          <w:lang w:val="en-US" w:eastAsia="zh-CN"/>
        </w:rPr>
        <w:t>1.4</w:t>
      </w:r>
      <w:r>
        <w:rPr>
          <w:rFonts w:hint="eastAsia"/>
          <w:color w:val="auto"/>
        </w:rPr>
        <w:t>主要结论和建议</w:t>
      </w:r>
      <w:bookmarkEnd w:id="45"/>
      <w:bookmarkEnd w:id="46"/>
      <w:bookmarkEnd w:id="47"/>
      <w:bookmarkEnd w:id="48"/>
      <w:bookmarkEnd w:id="49"/>
      <w:bookmarkEnd w:id="50"/>
      <w:bookmarkEnd w:id="51"/>
      <w:bookmarkEnd w:id="52"/>
      <w:bookmarkEnd w:id="53"/>
      <w:bookmarkEnd w:id="54"/>
      <w:bookmarkEnd w:id="55"/>
      <w:bookmarkEnd w:id="56"/>
    </w:p>
    <w:p w14:paraId="5747176C">
      <w:pPr>
        <w:bidi w:val="0"/>
        <w:rPr>
          <w:rFonts w:hint="eastAsia"/>
          <w:color w:val="auto"/>
          <w:lang w:eastAsia="zh-CN"/>
        </w:rPr>
      </w:pPr>
      <w:r>
        <w:rPr>
          <w:rFonts w:hint="eastAsia"/>
          <w:color w:val="auto"/>
          <w:lang w:eastAsia="zh-CN"/>
        </w:rPr>
        <w:t>通过对本项目的建设单位情况、拟建项目情况、建设方案与相关规划、资源利用、环境保护、投资估算、社会效益等分析后，得出以下结论：</w:t>
      </w:r>
    </w:p>
    <w:p w14:paraId="1D5FCFEB">
      <w:pPr>
        <w:bidi w:val="0"/>
        <w:rPr>
          <w:color w:val="auto"/>
        </w:rPr>
      </w:pPr>
      <w:r>
        <w:rPr>
          <w:rFonts w:hint="eastAsia"/>
          <w:color w:val="auto"/>
          <w:lang w:val="en-US" w:eastAsia="zh-CN"/>
        </w:rPr>
        <w:t>1、</w:t>
      </w:r>
      <w:r>
        <w:rPr>
          <w:rFonts w:hint="eastAsia"/>
          <w:color w:val="auto"/>
          <w:lang w:eastAsia="zh-CN"/>
        </w:rPr>
        <w:t>扬州华璟养老产业有限公司GZ768地块康养项目</w:t>
      </w:r>
      <w:r>
        <w:rPr>
          <w:color w:val="auto"/>
        </w:rPr>
        <w:t>规划用地面积适中，建筑面积合理，将建设包括养老住宅、康复中心、文化活动中心等在内的综合养老设施。项目旨在打造成为区域内具有示范意义的养老综合体，为老年人提供全方位、高品质的养老服务。</w:t>
      </w:r>
    </w:p>
    <w:p w14:paraId="6322358B">
      <w:pPr>
        <w:bidi w:val="0"/>
        <w:rPr>
          <w:color w:val="auto"/>
        </w:rPr>
      </w:pPr>
      <w:r>
        <w:rPr>
          <w:rFonts w:hint="eastAsia"/>
          <w:color w:val="auto"/>
          <w:lang w:val="en-US" w:eastAsia="zh-CN"/>
        </w:rPr>
        <w:t>2、</w:t>
      </w:r>
      <w:r>
        <w:rPr>
          <w:rFonts w:hint="eastAsia"/>
          <w:color w:val="auto"/>
          <w:lang w:eastAsia="zh-CN"/>
        </w:rPr>
        <w:t>扬州华璟养老产业有限公司GZ768地块康养项目</w:t>
      </w:r>
      <w:r>
        <w:rPr>
          <w:color w:val="auto"/>
        </w:rPr>
        <w:t>具有较好的经济效益和社会效益。项目不仅能够为投资者带来稳定的回报，还能够促进当地就业，提升社会福祉。</w:t>
      </w:r>
    </w:p>
    <w:p w14:paraId="298CC91A">
      <w:pPr>
        <w:bidi w:val="0"/>
        <w:rPr>
          <w:color w:val="auto"/>
        </w:rPr>
      </w:pPr>
      <w:r>
        <w:rPr>
          <w:rFonts w:hint="eastAsia"/>
          <w:color w:val="auto"/>
        </w:rPr>
        <w:t>3、</w:t>
      </w:r>
      <w:r>
        <w:rPr>
          <w:rFonts w:hint="eastAsia"/>
          <w:color w:val="auto"/>
          <w:lang w:eastAsia="zh-CN"/>
        </w:rPr>
        <w:t>扬州华璟养老产业有限公司GZ768地块康养项目</w:t>
      </w:r>
      <w:r>
        <w:rPr>
          <w:rFonts w:hint="eastAsia"/>
          <w:color w:val="auto"/>
        </w:rPr>
        <w:t>的建设应对人口老龄化挑战，缓解社会养老压力；提升养老服务品质，满足老年人多样化需求；促进养老产业发展，推动经济社会可持续发展。</w:t>
      </w:r>
    </w:p>
    <w:p w14:paraId="2472EBFA">
      <w:pPr>
        <w:bidi w:val="0"/>
        <w:rPr>
          <w:rFonts w:hint="eastAsia"/>
          <w:color w:val="auto"/>
          <w:lang w:eastAsia="zh-CN"/>
        </w:rPr>
      </w:pPr>
      <w:r>
        <w:rPr>
          <w:rFonts w:hint="eastAsia"/>
          <w:color w:val="auto"/>
          <w:lang w:val="en-US" w:eastAsia="zh-CN"/>
        </w:rPr>
        <w:t>4、</w:t>
      </w:r>
      <w:r>
        <w:rPr>
          <w:rFonts w:hint="eastAsia"/>
          <w:color w:val="auto"/>
          <w:lang w:eastAsia="zh-CN"/>
        </w:rPr>
        <w:t>扬州华璟养老产业有限公司GZ768地块康养项目的建设可以推动城市规划和基础设施的完善，包括交通、停车、绿化等基础设施的配套建设。这不仅提升了城市的整体功能性和便利性，还为市民提供了更加舒适、宜居的生活环境。</w:t>
      </w:r>
    </w:p>
    <w:p w14:paraId="3F184290">
      <w:pPr>
        <w:bidi w:val="0"/>
        <w:rPr>
          <w:rFonts w:hint="eastAsia"/>
          <w:color w:val="auto"/>
        </w:rPr>
      </w:pPr>
      <w:r>
        <w:rPr>
          <w:rFonts w:hint="eastAsia"/>
          <w:color w:val="auto"/>
          <w:lang w:eastAsia="zh-CN"/>
        </w:rPr>
        <w:t>因此，本项目的建设是十分必要的，也是可行的。建议尽快立项，及早实施。</w:t>
      </w:r>
    </w:p>
    <w:p w14:paraId="2FF58BE3">
      <w:pPr>
        <w:keepNext w:val="0"/>
        <w:keepLines w:val="0"/>
        <w:pageBreakBefore w:val="0"/>
        <w:widowControl/>
        <w:kinsoku/>
        <w:wordWrap w:val="0"/>
        <w:overflowPunct/>
        <w:topLinePunct/>
        <w:autoSpaceDE/>
        <w:autoSpaceDN/>
        <w:bidi w:val="0"/>
        <w:adjustRightInd w:val="0"/>
        <w:snapToGrid w:val="0"/>
        <w:spacing w:before="20" w:line="560" w:lineRule="exact"/>
        <w:ind w:firstLine="580" w:firstLineChars="200"/>
        <w:textAlignment w:val="baseline"/>
        <w:rPr>
          <w:rFonts w:hint="eastAsia" w:ascii="宋体" w:hAnsi="宋体" w:eastAsia="宋体" w:cs="宋体"/>
          <w:color w:val="auto"/>
          <w:spacing w:val="0"/>
          <w:sz w:val="29"/>
          <w:szCs w:val="29"/>
        </w:rPr>
        <w:sectPr>
          <w:footerReference r:id="rId6" w:type="default"/>
          <w:pgSz w:w="11906" w:h="16839"/>
          <w:pgMar w:top="1440" w:right="1800" w:bottom="1440" w:left="1800" w:header="1134" w:footer="1134" w:gutter="0"/>
          <w:pgNumType w:fmt="decimal" w:start="1"/>
          <w:cols w:space="720" w:num="1"/>
        </w:sectPr>
      </w:pPr>
    </w:p>
    <w:p w14:paraId="3655737E">
      <w:pPr>
        <w:pStyle w:val="2"/>
        <w:keepNext/>
        <w:keepLines/>
        <w:pageBreakBefore w:val="0"/>
        <w:widowControl/>
        <w:kinsoku/>
        <w:wordWrap w:val="0"/>
        <w:overflowPunct/>
        <w:topLinePunct/>
        <w:autoSpaceDE/>
        <w:autoSpaceDN/>
        <w:bidi w:val="0"/>
        <w:adjustRightInd w:val="0"/>
        <w:snapToGrid w:val="0"/>
        <w:spacing w:line="600" w:lineRule="exact"/>
        <w:jc w:val="center"/>
        <w:textAlignment w:val="baseline"/>
        <w:rPr>
          <w:rFonts w:hint="eastAsia" w:ascii="宋体" w:hAnsi="宋体" w:eastAsia="宋体" w:cs="宋体"/>
          <w:b/>
          <w:color w:val="auto"/>
          <w:spacing w:val="0"/>
        </w:rPr>
      </w:pPr>
      <w:bookmarkStart w:id="57" w:name="_Toc5243"/>
      <w:bookmarkStart w:id="58" w:name="_Toc14687"/>
      <w:bookmarkStart w:id="59" w:name="_Toc14745"/>
      <w:bookmarkStart w:id="60" w:name="_Toc10324"/>
      <w:bookmarkStart w:id="61" w:name="_Toc16726"/>
      <w:bookmarkStart w:id="62" w:name="_Toc22443"/>
      <w:bookmarkStart w:id="63" w:name="_Toc8800"/>
      <w:bookmarkStart w:id="64" w:name="_Toc19747"/>
      <w:bookmarkStart w:id="65" w:name="_Toc12351"/>
      <w:bookmarkStart w:id="66" w:name="_Toc23481"/>
      <w:bookmarkStart w:id="67" w:name="_Toc10044"/>
      <w:bookmarkStart w:id="68" w:name="_Toc15968"/>
      <w:r>
        <w:rPr>
          <w:rFonts w:hint="eastAsia" w:ascii="宋体" w:hAnsi="宋体" w:eastAsia="宋体" w:cs="宋体"/>
          <w:b/>
          <w:color w:val="auto"/>
          <w:spacing w:val="0"/>
          <w:lang w:val="en-US" w:eastAsia="zh-CN"/>
        </w:rPr>
        <w:t xml:space="preserve">第二章  </w:t>
      </w:r>
      <w:r>
        <w:rPr>
          <w:rFonts w:hint="eastAsia" w:ascii="宋体" w:hAnsi="宋体" w:eastAsia="宋体" w:cs="宋体"/>
          <w:b/>
          <w:color w:val="auto"/>
          <w:spacing w:val="0"/>
        </w:rPr>
        <w:t>项目建设背景和必要性</w:t>
      </w:r>
      <w:bookmarkEnd w:id="57"/>
      <w:bookmarkEnd w:id="58"/>
      <w:bookmarkEnd w:id="59"/>
      <w:bookmarkEnd w:id="60"/>
      <w:bookmarkEnd w:id="61"/>
      <w:bookmarkEnd w:id="62"/>
      <w:bookmarkEnd w:id="63"/>
      <w:bookmarkEnd w:id="64"/>
      <w:bookmarkEnd w:id="65"/>
      <w:bookmarkEnd w:id="66"/>
      <w:bookmarkEnd w:id="67"/>
      <w:bookmarkEnd w:id="68"/>
    </w:p>
    <w:p w14:paraId="702F6481">
      <w:pPr>
        <w:pStyle w:val="3"/>
        <w:bidi w:val="0"/>
        <w:rPr>
          <w:rFonts w:hint="eastAsia"/>
          <w:color w:val="auto"/>
          <w:lang w:eastAsia="zh-CN"/>
        </w:rPr>
      </w:pPr>
      <w:bookmarkStart w:id="69" w:name="_Toc8366"/>
      <w:bookmarkStart w:id="70" w:name="_Toc22091"/>
      <w:bookmarkStart w:id="71" w:name="_Toc9750"/>
      <w:bookmarkStart w:id="72" w:name="_Toc7531"/>
      <w:bookmarkStart w:id="73" w:name="_Toc31653"/>
      <w:bookmarkStart w:id="74" w:name="_Toc8235"/>
      <w:bookmarkStart w:id="75" w:name="_Toc14679"/>
      <w:bookmarkStart w:id="76" w:name="_Toc30680"/>
      <w:bookmarkStart w:id="77" w:name="_Toc22539"/>
      <w:bookmarkStart w:id="78" w:name="_Toc21596"/>
      <w:bookmarkStart w:id="79" w:name="_Toc8437"/>
      <w:bookmarkStart w:id="80" w:name="_Toc9218"/>
      <w:r>
        <w:rPr>
          <w:rFonts w:hint="eastAsia"/>
          <w:color w:val="auto"/>
          <w:lang w:val="en-US" w:eastAsia="zh-CN"/>
        </w:rPr>
        <w:t>2.1</w:t>
      </w:r>
      <w:r>
        <w:rPr>
          <w:rFonts w:hint="eastAsia"/>
          <w:color w:val="auto"/>
        </w:rPr>
        <w:t>项目建设背景</w:t>
      </w:r>
      <w:bookmarkEnd w:id="69"/>
      <w:bookmarkEnd w:id="70"/>
      <w:bookmarkEnd w:id="71"/>
      <w:bookmarkEnd w:id="72"/>
      <w:bookmarkEnd w:id="73"/>
      <w:bookmarkEnd w:id="74"/>
      <w:bookmarkEnd w:id="75"/>
      <w:bookmarkEnd w:id="76"/>
      <w:bookmarkEnd w:id="77"/>
      <w:bookmarkEnd w:id="78"/>
      <w:bookmarkEnd w:id="79"/>
      <w:bookmarkEnd w:id="80"/>
    </w:p>
    <w:p w14:paraId="1359C0DE">
      <w:pPr>
        <w:pageBreakBefore w:val="0"/>
        <w:widowControl/>
        <w:kinsoku/>
        <w:overflowPunct/>
        <w:topLinePunct/>
        <w:bidi w:val="0"/>
        <w:adjustRightInd w:val="0"/>
        <w:snapToGrid w:val="0"/>
        <w:textAlignment w:val="baseline"/>
        <w:rPr>
          <w:rFonts w:hint="eastAsia"/>
          <w:color w:val="auto"/>
        </w:rPr>
      </w:pPr>
      <w:bookmarkStart w:id="81" w:name="_Toc18595"/>
      <w:bookmarkStart w:id="82" w:name="_Toc895"/>
      <w:bookmarkStart w:id="83" w:name="_Toc31973"/>
      <w:bookmarkStart w:id="84" w:name="_Toc26864"/>
      <w:bookmarkStart w:id="85" w:name="_Toc14599"/>
      <w:bookmarkStart w:id="86" w:name="_Toc31055"/>
      <w:bookmarkStart w:id="87" w:name="_Toc7813"/>
      <w:bookmarkStart w:id="88" w:name="_Toc23385"/>
      <w:bookmarkStart w:id="89" w:name="_Toc26268"/>
      <w:r>
        <w:rPr>
          <w:color w:val="auto"/>
        </w:rPr>
        <w:t>随着我国社会进步、经济发展和医疗卫生事业的改善，人民生活水平不断提高，人均寿命逐渐延长，老年人口逐年增加，我国已正式步入老龄化社会。据预测，到2050年，我国60岁以上老年人将达到4.5亿人。</w:t>
      </w:r>
      <w:r>
        <w:rPr>
          <w:rFonts w:hint="eastAsia"/>
          <w:color w:val="auto"/>
          <w:lang w:val="en-US" w:eastAsia="zh-CN"/>
        </w:rPr>
        <w:t>2024年，</w:t>
      </w:r>
      <w:r>
        <w:rPr>
          <w:rFonts w:hint="eastAsia"/>
          <w:color w:val="auto"/>
        </w:rPr>
        <w:t>扬州市60周岁及以上常住老年人口已达130.95万人，占常住人口的28.59%</w:t>
      </w:r>
      <w:r>
        <w:rPr>
          <w:rFonts w:hint="eastAsia"/>
          <w:color w:val="auto"/>
          <w:lang w:eastAsia="zh-CN"/>
        </w:rPr>
        <w:t>；</w:t>
      </w:r>
      <w:r>
        <w:rPr>
          <w:rFonts w:hint="eastAsia"/>
          <w:color w:val="auto"/>
        </w:rPr>
        <w:t>65周岁及以上常住老年人口103.01万人，占常住人口的22.49%。这一数据表明，扬州市已经逼近重度老龄化社会。根据国际通行标准，65岁及以上老年人口占比超过21%，即称之为重度老龄化社会。</w:t>
      </w:r>
    </w:p>
    <w:p w14:paraId="5A44305E">
      <w:pPr>
        <w:pageBreakBefore w:val="0"/>
        <w:widowControl/>
        <w:kinsoku/>
        <w:overflowPunct/>
        <w:topLinePunct/>
        <w:bidi w:val="0"/>
        <w:adjustRightInd w:val="0"/>
        <w:snapToGrid w:val="0"/>
        <w:textAlignment w:val="baseline"/>
        <w:rPr>
          <w:rFonts w:hint="eastAsia"/>
          <w:color w:val="auto"/>
        </w:rPr>
      </w:pPr>
      <w:r>
        <w:rPr>
          <w:rFonts w:hint="eastAsia"/>
          <w:color w:val="auto"/>
        </w:rPr>
        <w:t>近年来，党和国家高度关注老年人的养老问题，投入巨资改善养老设施和服务。党的十九大报告明确提出，要在经济发展的基础上，更加注重社会建设，着力保障和改善民生，努力使全体人民老有所养、住有所居。</w:t>
      </w:r>
    </w:p>
    <w:p w14:paraId="27D67729">
      <w:pPr>
        <w:pageBreakBefore w:val="0"/>
        <w:widowControl/>
        <w:kinsoku/>
        <w:overflowPunct/>
        <w:topLinePunct/>
        <w:bidi w:val="0"/>
        <w:adjustRightInd w:val="0"/>
        <w:snapToGrid w:val="0"/>
        <w:textAlignment w:val="baseline"/>
        <w:rPr>
          <w:color w:val="auto"/>
        </w:rPr>
      </w:pPr>
      <w:r>
        <w:rPr>
          <w:rFonts w:hint="eastAsia"/>
          <w:color w:val="auto"/>
        </w:rPr>
        <w:t>根据《扬州市“十四五”老龄事业发展规划》，到2025年底，全市60岁以上老年人口预计将达29%左右。这一预测数据进一步证实了扬州市老龄化程度的加深，老龄化问题将更加突出。</w:t>
      </w:r>
    </w:p>
    <w:p w14:paraId="5A8E7D4C">
      <w:pPr>
        <w:pageBreakBefore w:val="0"/>
        <w:widowControl/>
        <w:kinsoku/>
        <w:overflowPunct/>
        <w:topLinePunct/>
        <w:bidi w:val="0"/>
        <w:adjustRightInd w:val="0"/>
        <w:snapToGrid w:val="0"/>
        <w:textAlignment w:val="baseline"/>
        <w:rPr>
          <w:rFonts w:hint="eastAsia"/>
          <w:color w:val="auto"/>
          <w:lang w:eastAsia="zh-CN"/>
        </w:rPr>
      </w:pPr>
      <w:r>
        <w:rPr>
          <w:rFonts w:hint="eastAsia"/>
          <w:color w:val="auto"/>
          <w:lang w:eastAsia="zh-CN"/>
        </w:rPr>
        <w:t>扬州市政府办公室印发了《扬州市养老服务业高质量发展三年行动计划（2024—2026年）》，通过构建“1+4”养老服务体系，实现养老服务保障坚强有力、养老设施网络全面覆盖、原居养老供给丰富多元、医养结合成效更加显著、服务业发展优质高效。该计划还明确了改造提升县级示范性养老服务机构、乡镇（街道）级医康养护综合服务中心等具体目标。</w:t>
      </w:r>
    </w:p>
    <w:p w14:paraId="6665D63B">
      <w:pPr>
        <w:pageBreakBefore w:val="0"/>
        <w:widowControl/>
        <w:kinsoku/>
        <w:overflowPunct/>
        <w:topLinePunct/>
        <w:bidi w:val="0"/>
        <w:adjustRightInd w:val="0"/>
        <w:snapToGrid w:val="0"/>
        <w:textAlignment w:val="baseline"/>
        <w:rPr>
          <w:rFonts w:hint="eastAsia"/>
          <w:color w:val="auto"/>
          <w:lang w:eastAsia="zh-CN"/>
        </w:rPr>
      </w:pPr>
    </w:p>
    <w:p w14:paraId="281EAA83">
      <w:pPr>
        <w:bidi w:val="0"/>
        <w:rPr>
          <w:rFonts w:hint="eastAsia"/>
          <w:color w:val="auto"/>
          <w:lang w:eastAsia="zh-CN"/>
        </w:rPr>
      </w:pPr>
      <w:r>
        <w:rPr>
          <w:rFonts w:hint="eastAsia"/>
          <w:color w:val="auto"/>
          <w:lang w:eastAsia="zh-CN"/>
        </w:rPr>
        <w:t>2025年，结合扬州市妇幼保健院搬迁工作，进一步完善提升护理院项目以及健康养老公寓等配套项目；建立健全品牌机构连锁化运营、构建一体化助餐服务体系。2026年，打造医康养护一体化的大型医养融合养老机构示范标杆项目，形成品质养老、普惠养老的服务产品体系。开展全市养老服务机构提质增效专项行动，力争到2026年，新增6家四级以上养老服务机构，打造10个以上优质养老服务品牌，新增1000张中高端养老服务机构床位。</w:t>
      </w:r>
    </w:p>
    <w:p w14:paraId="1DF20599">
      <w:pPr>
        <w:bidi w:val="0"/>
        <w:rPr>
          <w:color w:val="auto"/>
        </w:rPr>
      </w:pPr>
      <w:r>
        <w:rPr>
          <w:rFonts w:hint="eastAsia"/>
          <w:color w:val="auto"/>
          <w:lang w:eastAsia="zh-CN"/>
        </w:rPr>
        <w:t>行动计划</w:t>
      </w:r>
      <w:r>
        <w:rPr>
          <w:color w:val="auto"/>
          <w:lang w:val="en-US" w:eastAsia="zh-CN"/>
        </w:rPr>
        <w:t>第十二条</w:t>
      </w:r>
      <w:r>
        <w:rPr>
          <w:rFonts w:hint="eastAsia"/>
          <w:color w:val="auto"/>
          <w:lang w:val="en-US" w:eastAsia="zh-CN"/>
        </w:rPr>
        <w:t>指出：</w:t>
      </w:r>
      <w:r>
        <w:rPr>
          <w:color w:val="auto"/>
          <w:lang w:val="en-US" w:eastAsia="zh-CN"/>
        </w:rPr>
        <w:t>鼓励将符合条件的闲置设施、场地等资源整合改造</w:t>
      </w:r>
      <w:r>
        <w:rPr>
          <w:rFonts w:hint="default"/>
          <w:color w:val="auto"/>
          <w:lang w:val="en-US" w:eastAsia="zh-CN"/>
        </w:rPr>
        <w:t>用于养老服务。支持运用互联网、大数据、人工智能等信息技术提供养老服务。鼓励创新养老服务模式提供养老服务，对符合条件的给予优惠政策支持。养老服务设施用水、用电、用气、用热按照居民生活类价格标准收费；有线电视基本收视维护费按照当地居民用户终端收费标准减半收取；安装有线电视、电话、宽带网络免收一次性接入费。</w:t>
      </w:r>
    </w:p>
    <w:p w14:paraId="21B4EB02">
      <w:pPr>
        <w:bidi w:val="0"/>
        <w:rPr>
          <w:rFonts w:hint="eastAsia"/>
          <w:color w:val="auto"/>
          <w:lang w:eastAsia="zh-CN"/>
        </w:rPr>
      </w:pPr>
      <w:r>
        <w:rPr>
          <w:rFonts w:hint="eastAsia"/>
          <w:color w:val="auto"/>
          <w:lang w:eastAsia="zh-CN"/>
        </w:rPr>
        <w:t>我市持续推进颐养社区建设，通过继续开展颐养社区建设、农</w:t>
      </w:r>
    </w:p>
    <w:p w14:paraId="0E8CBA61">
      <w:pPr>
        <w:bidi w:val="0"/>
        <w:ind w:left="0" w:leftChars="0" w:firstLine="0" w:firstLineChars="0"/>
        <w:rPr>
          <w:rFonts w:hint="eastAsia"/>
          <w:color w:val="auto"/>
          <w:lang w:eastAsia="zh-CN"/>
        </w:rPr>
      </w:pPr>
      <w:r>
        <w:rPr>
          <w:rFonts w:hint="eastAsia"/>
          <w:color w:val="auto"/>
          <w:lang w:eastAsia="zh-CN"/>
        </w:rPr>
        <w:t>村互助养老睦邻点建设等，进一步强化城乡社区养老服务设施配建，优化居家社区养老服务水平和医养结合能力，着力打造居家社区“15分钟养老服务圈”，满足老年人“原居享老”服务需求。</w:t>
      </w:r>
    </w:p>
    <w:p w14:paraId="3EF973F1">
      <w:pPr>
        <w:bidi w:val="0"/>
        <w:rPr>
          <w:rFonts w:hint="eastAsia"/>
          <w:color w:val="auto"/>
          <w:lang w:eastAsia="zh-CN"/>
        </w:rPr>
      </w:pPr>
      <w:r>
        <w:rPr>
          <w:rFonts w:hint="eastAsia"/>
          <w:color w:val="auto"/>
          <w:lang w:eastAsia="zh-CN"/>
        </w:rPr>
        <w:t>扬州市人民政府引发的《扬州市老年人优待条例》指出：支持医养融合，探索社区养老服务机构与基层医疗服务站点毗邻建设模式，推动街道综合性养老服务中心与社区卫生服务中心毗邻建设，促进医康养护深入融合。设立扬州市老年人能力评估中心，按照国家、省相关标准进一步完善全市老年人能力评估机制；优化医养结合机构医保结算方式，进一步满足老年人健康养老服务需求。</w:t>
      </w:r>
    </w:p>
    <w:p w14:paraId="6C6BBC56">
      <w:pPr>
        <w:bidi w:val="0"/>
        <w:rPr>
          <w:rFonts w:hint="eastAsia"/>
          <w:color w:val="auto"/>
          <w:lang w:eastAsia="zh-CN"/>
        </w:rPr>
      </w:pPr>
      <w:r>
        <w:rPr>
          <w:rFonts w:hint="eastAsia"/>
          <w:color w:val="auto"/>
          <w:lang w:eastAsia="zh-CN"/>
        </w:rPr>
        <w:t>第十七条：鼓励和支持养服务老机构按照服务内容和标准，在失能、失智以及有需求的老年人家中设置家庭照护床位，安装必要的呼叫应答、信息传输和服务监控等设备，提供规范化、专业化养老服务。家庭照护床位与养老服务机构内床位享受同等补贴政策，具体办法由市、县（市、区）人民政府制定。</w:t>
      </w:r>
    </w:p>
    <w:p w14:paraId="70874352">
      <w:pPr>
        <w:pageBreakBefore w:val="0"/>
        <w:widowControl/>
        <w:kinsoku/>
        <w:overflowPunct/>
        <w:topLinePunct/>
        <w:bidi w:val="0"/>
        <w:adjustRightInd w:val="0"/>
        <w:snapToGrid w:val="0"/>
        <w:textAlignment w:val="baseline"/>
        <w:rPr>
          <w:rFonts w:hint="eastAsia"/>
          <w:color w:val="auto"/>
          <w:lang w:eastAsia="zh-CN"/>
        </w:rPr>
      </w:pPr>
      <w:r>
        <w:rPr>
          <w:rFonts w:hint="eastAsia"/>
          <w:color w:val="auto"/>
          <w:lang w:eastAsia="zh-CN"/>
        </w:rPr>
        <w:t>扬州市人民代表大会常务委员会《扬州市老年人优待条例》：文化广电和旅游、民政、体育部门以及乡镇人民政府、街道办事处应当组织开展老年人群众性文化、体育、娱乐活动，丰富老年人的精神文化生活鼓励开发适合老年人的康养游、乡村游以及美食文化游、大运河观光游、民间技艺和地方文化遗产宣传游等展示地方文化和风貌的特色旅游产品。</w:t>
      </w:r>
    </w:p>
    <w:p w14:paraId="17DD89B5">
      <w:pPr>
        <w:pageBreakBefore w:val="0"/>
        <w:widowControl/>
        <w:kinsoku/>
        <w:overflowPunct/>
        <w:topLinePunct/>
        <w:bidi w:val="0"/>
        <w:adjustRightInd w:val="0"/>
        <w:snapToGrid w:val="0"/>
        <w:textAlignment w:val="baseline"/>
        <w:rPr>
          <w:rFonts w:hint="eastAsia"/>
          <w:color w:val="auto"/>
          <w:lang w:eastAsia="zh-CN"/>
        </w:rPr>
      </w:pPr>
      <w:r>
        <w:rPr>
          <w:rFonts w:hint="eastAsia"/>
          <w:color w:val="auto"/>
          <w:lang w:eastAsia="zh-CN"/>
        </w:rPr>
        <w:t>2025年5月26日，潘国强市长主持召开了《研究“优化养老领域市场准入环境与要素配置效率”国家改革试点及支持养老产业政策性金融工具建议方案》。会上发改委出台《养老服务业市场准入工作导则》，具体内容包括：《社会养老服务业市场准入流程规范及设施建设标准》、《社会养老行业运行服务试点标准》、《组建产业联盟支持试点开展》。</w:t>
      </w:r>
    </w:p>
    <w:p w14:paraId="7AC7BC72">
      <w:pPr>
        <w:pageBreakBefore w:val="0"/>
        <w:widowControl/>
        <w:kinsoku/>
        <w:overflowPunct/>
        <w:topLinePunct/>
        <w:bidi w:val="0"/>
        <w:adjustRightInd w:val="0"/>
        <w:snapToGrid w:val="0"/>
        <w:textAlignment w:val="baseline"/>
        <w:rPr>
          <w:color w:val="auto"/>
        </w:rPr>
      </w:pPr>
      <w:r>
        <w:rPr>
          <w:rFonts w:hint="eastAsia"/>
          <w:color w:val="auto"/>
          <w:lang w:eastAsia="zh-CN"/>
        </w:rPr>
        <w:t>扬州华璟养老产业有限公司GZ768地块康养项目</w:t>
      </w:r>
      <w:r>
        <w:rPr>
          <w:color w:val="auto"/>
        </w:rPr>
        <w:t>通过整合优质资源，提供全方位、多层次的养老服务，满足老年人多样化的养老需求。同时，该项目还注重营造家庭氛围，提供完善的生活服务设施和娱乐休闲场所，让老年人在享受优质养老服务的同时，也能感受到家的温暖和快乐。</w:t>
      </w:r>
    </w:p>
    <w:p w14:paraId="72FBA377">
      <w:pPr>
        <w:pageBreakBefore w:val="0"/>
        <w:widowControl/>
        <w:kinsoku/>
        <w:overflowPunct/>
        <w:topLinePunct/>
        <w:bidi w:val="0"/>
        <w:adjustRightInd w:val="0"/>
        <w:snapToGrid w:val="0"/>
        <w:textAlignment w:val="baseline"/>
        <w:rPr>
          <w:color w:val="auto"/>
        </w:rPr>
      </w:pPr>
      <w:r>
        <w:rPr>
          <w:rFonts w:hint="eastAsia"/>
          <w:color w:val="auto"/>
          <w:lang w:eastAsia="zh-CN"/>
        </w:rPr>
        <w:t>扬州华璟养老产业有限公司GZ768地块康养项目</w:t>
      </w:r>
      <w:r>
        <w:rPr>
          <w:color w:val="auto"/>
        </w:rPr>
        <w:t>的建设不仅符合社会发展趋势和老年人养老需求，也得到了国家和地方政府的高度重视和大力支持。未来，随着项目的不断推进和完善，将为老年人提供更加优质、便捷的养老服务，推动社会养老事业的持续发展。</w:t>
      </w:r>
    </w:p>
    <w:p w14:paraId="28EB1899">
      <w:pPr>
        <w:pStyle w:val="3"/>
        <w:pageBreakBefore w:val="0"/>
        <w:widowControl/>
        <w:kinsoku/>
        <w:wordWrap w:val="0"/>
        <w:overflowPunct/>
        <w:topLinePunct/>
        <w:autoSpaceDE/>
        <w:autoSpaceDN/>
        <w:bidi w:val="0"/>
        <w:spacing w:after="0" w:afterLines="0"/>
        <w:rPr>
          <w:rFonts w:hint="eastAsia"/>
          <w:color w:val="auto"/>
          <w:spacing w:val="0"/>
        </w:rPr>
      </w:pPr>
      <w:bookmarkStart w:id="90" w:name="_Toc24718"/>
      <w:bookmarkStart w:id="91" w:name="_Toc19831"/>
      <w:bookmarkStart w:id="92" w:name="_Toc769"/>
      <w:r>
        <w:rPr>
          <w:rFonts w:hint="eastAsia"/>
          <w:color w:val="auto"/>
          <w:spacing w:val="0"/>
          <w:lang w:val="en-US" w:eastAsia="zh-CN"/>
        </w:rPr>
        <w:t>2.2</w:t>
      </w:r>
      <w:r>
        <w:rPr>
          <w:rFonts w:hint="eastAsia"/>
          <w:color w:val="auto"/>
          <w:spacing w:val="0"/>
        </w:rPr>
        <w:t>项目建设必要性</w:t>
      </w:r>
      <w:bookmarkEnd w:id="81"/>
      <w:bookmarkEnd w:id="82"/>
      <w:bookmarkEnd w:id="83"/>
      <w:bookmarkEnd w:id="84"/>
      <w:bookmarkEnd w:id="85"/>
      <w:bookmarkEnd w:id="86"/>
      <w:bookmarkEnd w:id="87"/>
      <w:bookmarkEnd w:id="88"/>
      <w:bookmarkEnd w:id="89"/>
      <w:bookmarkEnd w:id="90"/>
      <w:bookmarkEnd w:id="91"/>
      <w:bookmarkEnd w:id="92"/>
    </w:p>
    <w:p w14:paraId="01319717">
      <w:pPr>
        <w:bidi w:val="0"/>
        <w:rPr>
          <w:rFonts w:hint="eastAsia"/>
          <w:color w:val="auto"/>
          <w:lang w:val="en-US" w:eastAsia="zh-CN"/>
        </w:rPr>
      </w:pPr>
      <w:r>
        <w:rPr>
          <w:rFonts w:hint="eastAsia"/>
          <w:color w:val="auto"/>
          <w:lang w:val="en-US" w:eastAsia="zh-CN"/>
        </w:rPr>
        <w:t>1、应对人口老龄化挑战</w:t>
      </w:r>
    </w:p>
    <w:p w14:paraId="65A5D79B">
      <w:pPr>
        <w:bidi w:val="0"/>
        <w:rPr>
          <w:rFonts w:hint="eastAsia"/>
          <w:color w:val="auto"/>
          <w:lang w:val="en-US" w:eastAsia="zh-CN"/>
        </w:rPr>
      </w:pPr>
      <w:r>
        <w:rPr>
          <w:rFonts w:hint="eastAsia"/>
          <w:color w:val="auto"/>
          <w:lang w:val="en-US" w:eastAsia="zh-CN"/>
        </w:rPr>
        <w:t>随着我国社会进步和经济发展，老年人口逐年增加，人口老龄化现象日益显著。扬州华璟养老产业有限公司GZ768地块康养项目的建设，能够有效应对这一挑战，为老年人提供专业的养老服务，缓解社会养老压力。</w:t>
      </w:r>
    </w:p>
    <w:p w14:paraId="19302914">
      <w:pPr>
        <w:bidi w:val="0"/>
        <w:rPr>
          <w:rFonts w:hint="eastAsia"/>
          <w:color w:val="auto"/>
          <w:lang w:val="en-US" w:eastAsia="zh-CN"/>
        </w:rPr>
      </w:pPr>
      <w:r>
        <w:rPr>
          <w:rFonts w:hint="eastAsia"/>
          <w:color w:val="auto"/>
          <w:lang w:val="en-US" w:eastAsia="zh-CN"/>
        </w:rPr>
        <w:t>2、完善社会福利体系</w:t>
      </w:r>
    </w:p>
    <w:p w14:paraId="2BBE45B3">
      <w:pPr>
        <w:bidi w:val="0"/>
        <w:rPr>
          <w:rFonts w:hint="eastAsia"/>
          <w:color w:val="auto"/>
          <w:lang w:val="en-US" w:eastAsia="zh-CN"/>
        </w:rPr>
      </w:pPr>
      <w:r>
        <w:rPr>
          <w:rFonts w:hint="eastAsia"/>
          <w:color w:val="auto"/>
          <w:lang w:val="en-US" w:eastAsia="zh-CN"/>
        </w:rPr>
        <w:t>养老院的建设将进一步完善社会福利体系，提升养老服务水平。通过提供全方位、专业化的养老服务，满足老年人多样化的需求，提高老年人的生活质量，实现老有所养、老有所乐。</w:t>
      </w:r>
    </w:p>
    <w:p w14:paraId="09E0D828">
      <w:pPr>
        <w:bidi w:val="0"/>
        <w:rPr>
          <w:rFonts w:hint="eastAsia"/>
          <w:color w:val="auto"/>
          <w:lang w:val="en-US" w:eastAsia="zh-CN"/>
        </w:rPr>
      </w:pPr>
      <w:r>
        <w:rPr>
          <w:rFonts w:hint="eastAsia"/>
          <w:color w:val="auto"/>
          <w:lang w:val="en-US" w:eastAsia="zh-CN"/>
        </w:rPr>
        <w:t>3、推动养老产业发展</w:t>
      </w:r>
    </w:p>
    <w:p w14:paraId="061B73F9">
      <w:pPr>
        <w:bidi w:val="0"/>
        <w:rPr>
          <w:rFonts w:hint="eastAsia"/>
          <w:color w:val="auto"/>
          <w:lang w:val="en-US" w:eastAsia="zh-CN"/>
        </w:rPr>
      </w:pPr>
      <w:r>
        <w:rPr>
          <w:rFonts w:hint="eastAsia"/>
          <w:color w:val="auto"/>
          <w:lang w:val="en-US" w:eastAsia="zh-CN"/>
        </w:rPr>
        <w:t>扬州华璟养老产业有限公司GZ768地块康养项目的建设，将推动养老产业的发展，促进相关产业链的延伸和完善。同时，通过引入先进的科技手段和管理理念，提高养老服务的智能化、专业化水平，为养老产业的可持续发展奠定坚实基础。</w:t>
      </w:r>
    </w:p>
    <w:p w14:paraId="7B6A0CD7">
      <w:pPr>
        <w:bidi w:val="0"/>
        <w:rPr>
          <w:rFonts w:hint="eastAsia"/>
          <w:color w:val="auto"/>
          <w:lang w:val="en-US" w:eastAsia="zh-CN"/>
        </w:rPr>
      </w:pPr>
      <w:r>
        <w:rPr>
          <w:rFonts w:hint="eastAsia"/>
          <w:color w:val="auto"/>
          <w:lang w:val="en-US" w:eastAsia="zh-CN"/>
        </w:rPr>
        <w:t>4、促进资源合理配置</w:t>
      </w:r>
    </w:p>
    <w:p w14:paraId="3ED7BFD9">
      <w:pPr>
        <w:bidi w:val="0"/>
        <w:rPr>
          <w:rFonts w:hint="eastAsia"/>
          <w:color w:val="auto"/>
          <w:lang w:val="en-US" w:eastAsia="zh-CN"/>
        </w:rPr>
      </w:pPr>
      <w:r>
        <w:rPr>
          <w:rFonts w:hint="eastAsia"/>
          <w:color w:val="auto"/>
          <w:lang w:val="en-US" w:eastAsia="zh-CN"/>
        </w:rPr>
        <w:t>扬州华璟养老产业有限公司GZ768地块康养项目可以利用当地的土地、林木等生态资源开设养老项目，实现资源的合理配置。这不仅可以为老年人提供优质的养老环境，还能拉动当地经济，促进区域经济的协调发展。</w:t>
      </w:r>
    </w:p>
    <w:p w14:paraId="1EB1BFC2">
      <w:pPr>
        <w:bidi w:val="0"/>
        <w:rPr>
          <w:rFonts w:hint="eastAsia"/>
          <w:color w:val="auto"/>
          <w:lang w:val="en-US" w:eastAsia="zh-CN"/>
        </w:rPr>
      </w:pPr>
      <w:r>
        <w:rPr>
          <w:rFonts w:hint="eastAsia"/>
          <w:color w:val="auto"/>
          <w:lang w:val="en-US" w:eastAsia="zh-CN"/>
        </w:rPr>
        <w:t>5、提升社会和谐度</w:t>
      </w:r>
    </w:p>
    <w:p w14:paraId="7FF4C0FF">
      <w:pPr>
        <w:bidi w:val="0"/>
        <w:rPr>
          <w:rFonts w:hint="eastAsia"/>
          <w:color w:val="auto"/>
          <w:lang w:val="en-US" w:eastAsia="zh-CN"/>
        </w:rPr>
      </w:pPr>
      <w:r>
        <w:rPr>
          <w:rFonts w:hint="eastAsia"/>
          <w:color w:val="auto"/>
          <w:lang w:val="en-US" w:eastAsia="zh-CN"/>
        </w:rPr>
        <w:t>养老试点项目的建设，将提升社会对老年人的关注度和关爱度，形成敬老、尊老、爱老的良好社会风尚。这有助于增强社会的凝聚力和向心力，推动和谐社会的建设。</w:t>
      </w:r>
    </w:p>
    <w:p w14:paraId="4DE48395">
      <w:pPr>
        <w:bidi w:val="0"/>
        <w:rPr>
          <w:rFonts w:hint="eastAsia"/>
          <w:color w:val="auto"/>
          <w:lang w:eastAsia="zh-CN"/>
        </w:rPr>
      </w:pPr>
      <w:r>
        <w:rPr>
          <w:rFonts w:hint="eastAsia"/>
          <w:color w:val="auto"/>
          <w:lang w:val="en-US" w:eastAsia="zh-CN"/>
        </w:rPr>
        <w:t>综上所述，扬州华璟养老产业有限公司GZ768地块康养项目的建设对于应对人口老龄化挑战、完善社会福利体系、推动养老产业发展、促进资源合理配置以及提升社会和谐度等方面都具有重要意义。</w:t>
      </w:r>
    </w:p>
    <w:p w14:paraId="4F4168F0">
      <w:pPr>
        <w:keepNext w:val="0"/>
        <w:keepLines w:val="0"/>
        <w:pageBreakBefore w:val="0"/>
        <w:widowControl/>
        <w:kinsoku/>
        <w:wordWrap w:val="0"/>
        <w:overflowPunct/>
        <w:topLinePunct/>
        <w:autoSpaceDE/>
        <w:autoSpaceDN/>
        <w:bidi w:val="0"/>
        <w:adjustRightInd w:val="0"/>
        <w:snapToGrid w:val="0"/>
        <w:spacing w:before="20" w:line="560" w:lineRule="exact"/>
        <w:ind w:firstLine="580" w:firstLineChars="200"/>
        <w:textAlignment w:val="baseline"/>
        <w:rPr>
          <w:rFonts w:hint="eastAsia" w:ascii="宋体" w:hAnsi="宋体" w:eastAsia="宋体" w:cs="宋体"/>
          <w:color w:val="auto"/>
          <w:spacing w:val="0"/>
          <w:sz w:val="29"/>
          <w:szCs w:val="29"/>
          <w:lang w:eastAsia="zh-CN"/>
        </w:rPr>
      </w:pPr>
    </w:p>
    <w:p w14:paraId="0F42E32E">
      <w:pPr>
        <w:keepNext w:val="0"/>
        <w:keepLines w:val="0"/>
        <w:pageBreakBefore w:val="0"/>
        <w:widowControl/>
        <w:kinsoku/>
        <w:wordWrap w:val="0"/>
        <w:overflowPunct/>
        <w:topLinePunct/>
        <w:autoSpaceDE/>
        <w:autoSpaceDN/>
        <w:bidi w:val="0"/>
        <w:adjustRightInd w:val="0"/>
        <w:snapToGrid w:val="0"/>
        <w:spacing w:before="20" w:line="560" w:lineRule="exact"/>
        <w:ind w:firstLine="580" w:firstLineChars="200"/>
        <w:textAlignment w:val="baseline"/>
        <w:rPr>
          <w:rFonts w:hint="eastAsia" w:ascii="宋体" w:hAnsi="宋体" w:eastAsia="宋体" w:cs="宋体"/>
          <w:color w:val="auto"/>
          <w:spacing w:val="0"/>
          <w:sz w:val="29"/>
          <w:szCs w:val="29"/>
        </w:rPr>
        <w:sectPr>
          <w:pgSz w:w="11906" w:h="16839"/>
          <w:pgMar w:top="1440" w:right="1800" w:bottom="1440" w:left="1800" w:header="0" w:footer="0" w:gutter="0"/>
          <w:pgNumType w:fmt="decimal"/>
          <w:cols w:space="720" w:num="1"/>
        </w:sectPr>
      </w:pPr>
    </w:p>
    <w:p w14:paraId="3A14A42D">
      <w:pPr>
        <w:pStyle w:val="2"/>
        <w:pageBreakBefore w:val="0"/>
        <w:widowControl/>
        <w:kinsoku/>
        <w:wordWrap w:val="0"/>
        <w:overflowPunct/>
        <w:topLinePunct/>
        <w:autoSpaceDE/>
        <w:autoSpaceDN/>
        <w:bidi w:val="0"/>
        <w:rPr>
          <w:rFonts w:hint="eastAsia"/>
          <w:color w:val="auto"/>
          <w:spacing w:val="0"/>
        </w:rPr>
      </w:pPr>
      <w:bookmarkStart w:id="93" w:name="_Toc32339"/>
      <w:bookmarkStart w:id="94" w:name="_Toc12540"/>
      <w:bookmarkStart w:id="95" w:name="_Toc30383"/>
      <w:bookmarkStart w:id="96" w:name="_Toc32241"/>
      <w:bookmarkStart w:id="97" w:name="_Toc7164"/>
      <w:bookmarkStart w:id="98" w:name="_Toc23927"/>
      <w:bookmarkStart w:id="99" w:name="_Toc6923"/>
      <w:bookmarkStart w:id="100" w:name="_Toc32072"/>
      <w:bookmarkStart w:id="101" w:name="_Toc25518"/>
      <w:bookmarkStart w:id="102" w:name="_Toc2641"/>
      <w:bookmarkStart w:id="103" w:name="_Toc12946"/>
      <w:bookmarkStart w:id="104" w:name="_Toc27395"/>
      <w:r>
        <w:rPr>
          <w:rFonts w:hint="eastAsia"/>
          <w:color w:val="auto"/>
          <w:spacing w:val="0"/>
          <w:lang w:val="en-US" w:eastAsia="zh-CN"/>
        </w:rPr>
        <w:t xml:space="preserve">第三章  </w:t>
      </w:r>
      <w:r>
        <w:rPr>
          <w:rFonts w:hint="eastAsia"/>
          <w:color w:val="auto"/>
          <w:spacing w:val="0"/>
        </w:rPr>
        <w:t>项目需求分析与产出方案</w:t>
      </w:r>
      <w:bookmarkEnd w:id="93"/>
      <w:bookmarkEnd w:id="94"/>
      <w:bookmarkEnd w:id="95"/>
      <w:bookmarkEnd w:id="96"/>
      <w:bookmarkEnd w:id="97"/>
      <w:bookmarkEnd w:id="98"/>
      <w:bookmarkEnd w:id="99"/>
      <w:bookmarkEnd w:id="100"/>
      <w:bookmarkEnd w:id="101"/>
      <w:bookmarkEnd w:id="102"/>
      <w:bookmarkEnd w:id="103"/>
      <w:bookmarkEnd w:id="104"/>
    </w:p>
    <w:p w14:paraId="79F0E791">
      <w:pPr>
        <w:pStyle w:val="3"/>
        <w:pageBreakBefore w:val="0"/>
        <w:widowControl/>
        <w:kinsoku/>
        <w:wordWrap w:val="0"/>
        <w:overflowPunct/>
        <w:topLinePunct/>
        <w:autoSpaceDE/>
        <w:autoSpaceDN/>
        <w:bidi w:val="0"/>
        <w:spacing w:after="0" w:afterLines="0"/>
        <w:rPr>
          <w:rFonts w:hint="eastAsia"/>
          <w:color w:val="auto"/>
          <w:spacing w:val="0"/>
          <w:lang w:val="en-US" w:eastAsia="zh-CN"/>
        </w:rPr>
      </w:pPr>
      <w:bookmarkStart w:id="105" w:name="_Toc15767"/>
      <w:bookmarkStart w:id="106" w:name="_Toc25230"/>
      <w:bookmarkStart w:id="107" w:name="_Toc19253"/>
      <w:bookmarkStart w:id="108" w:name="_Toc10611"/>
      <w:bookmarkStart w:id="109" w:name="_Toc29776"/>
      <w:bookmarkStart w:id="110" w:name="_Toc19292"/>
      <w:bookmarkStart w:id="111" w:name="_Toc15055"/>
      <w:bookmarkStart w:id="112" w:name="_Toc28210"/>
      <w:bookmarkStart w:id="113" w:name="_Toc9236"/>
      <w:bookmarkStart w:id="114" w:name="_Toc9592"/>
      <w:bookmarkStart w:id="115" w:name="_Toc17813"/>
      <w:bookmarkStart w:id="116" w:name="_Toc17903"/>
      <w:r>
        <w:rPr>
          <w:rFonts w:hint="eastAsia"/>
          <w:color w:val="auto"/>
          <w:spacing w:val="0"/>
          <w:lang w:val="en-US" w:eastAsia="zh-CN"/>
        </w:rPr>
        <w:t>3.1</w:t>
      </w:r>
      <w:r>
        <w:rPr>
          <w:rFonts w:hint="eastAsia"/>
          <w:color w:val="auto"/>
          <w:spacing w:val="0"/>
        </w:rPr>
        <w:t>需求分析</w:t>
      </w:r>
      <w:bookmarkEnd w:id="105"/>
      <w:bookmarkEnd w:id="106"/>
      <w:bookmarkEnd w:id="107"/>
      <w:bookmarkEnd w:id="108"/>
      <w:bookmarkEnd w:id="109"/>
      <w:bookmarkEnd w:id="110"/>
      <w:bookmarkEnd w:id="111"/>
      <w:bookmarkEnd w:id="112"/>
      <w:bookmarkEnd w:id="113"/>
      <w:bookmarkEnd w:id="114"/>
      <w:bookmarkEnd w:id="115"/>
      <w:bookmarkEnd w:id="116"/>
      <w:r>
        <w:rPr>
          <w:rFonts w:hint="eastAsia"/>
          <w:color w:val="auto"/>
          <w:spacing w:val="0"/>
          <w:lang w:val="en-US" w:eastAsia="zh-CN"/>
        </w:rPr>
        <w:t xml:space="preserve"> </w:t>
      </w:r>
      <w:bookmarkStart w:id="117" w:name="_Toc840"/>
    </w:p>
    <w:p w14:paraId="4406534B">
      <w:pPr>
        <w:rPr>
          <w:color w:val="auto"/>
        </w:rPr>
      </w:pPr>
      <w:r>
        <w:rPr>
          <w:color w:val="auto"/>
        </w:rPr>
        <w:t>随着中国老龄化进程的加速，老年人口数量持续增长，养老需求日益多样化。传统的家庭养老模式受到“421”家庭结构、生活节奏加快等多重因素的冲击，社会化养老成为应对老龄化挑战的有效方式。养老综合体作为一种集养老院、医院、商业、文娱等功能于一体的复合型建筑群，以资源整合为核心，为老年人提供全生命周期的一体化养老解决方案，正逐渐成为养老市场的新趋势。</w:t>
      </w:r>
    </w:p>
    <w:p w14:paraId="03561826">
      <w:pPr>
        <w:rPr>
          <w:color w:val="auto"/>
        </w:rPr>
      </w:pPr>
      <w:r>
        <w:rPr>
          <w:rFonts w:hint="eastAsia"/>
          <w:color w:val="auto"/>
          <w:lang w:val="en-US" w:eastAsia="zh-CN"/>
        </w:rPr>
        <w:t>1、</w:t>
      </w:r>
      <w:r>
        <w:rPr>
          <w:color w:val="auto"/>
        </w:rPr>
        <w:t>中国60周岁及以上人口已达到2.5亿以上，占总人口的近18%，且这一比例将持续上升。</w:t>
      </w:r>
      <w:r>
        <w:rPr>
          <w:rFonts w:hint="eastAsia"/>
          <w:color w:val="auto"/>
        </w:rPr>
        <w:t>据预测，到2050年，我国60岁以上老年人将达到4.5亿人。2024年，扬州市60周岁及以上常住老年人口已达130.95万人，占常住人口的28.59%；65周岁及以上常住老年人口103.01万人，占常住人口的22.49%。</w:t>
      </w:r>
      <w:r>
        <w:rPr>
          <w:color w:val="auto"/>
        </w:rPr>
        <w:t>老年人口基数的庞大，使得养老需求市场广阔。</w:t>
      </w:r>
    </w:p>
    <w:p w14:paraId="196753FA">
      <w:pPr>
        <w:rPr>
          <w:color w:val="auto"/>
        </w:rPr>
      </w:pPr>
      <w:r>
        <w:rPr>
          <w:rFonts w:hint="eastAsia"/>
          <w:color w:val="auto"/>
          <w:lang w:val="en-US" w:eastAsia="zh-CN"/>
        </w:rPr>
        <w:t>2、</w:t>
      </w:r>
      <w:r>
        <w:rPr>
          <w:color w:val="auto"/>
        </w:rPr>
        <w:t>老年人对养老服务的需求不仅限于基本的生活照料，还包括医疗护理、精神文化、健康疗养、购物休闲等多方面的需求。养老综合体能够提供一站式、全方位的养老服务，满足老年人的多样化需求。</w:t>
      </w:r>
    </w:p>
    <w:p w14:paraId="464FD170">
      <w:pPr>
        <w:rPr>
          <w:color w:val="auto"/>
        </w:rPr>
      </w:pPr>
      <w:r>
        <w:rPr>
          <w:rFonts w:hint="eastAsia"/>
          <w:color w:val="auto"/>
          <w:lang w:val="en-US" w:eastAsia="zh-CN"/>
        </w:rPr>
        <w:t>3、</w:t>
      </w:r>
      <w:r>
        <w:rPr>
          <w:color w:val="auto"/>
        </w:rPr>
        <w:t>国家</w:t>
      </w:r>
      <w:r>
        <w:rPr>
          <w:rFonts w:hint="eastAsia"/>
          <w:color w:val="auto"/>
          <w:lang w:eastAsia="zh-CN"/>
        </w:rPr>
        <w:t>、省、市</w:t>
      </w:r>
      <w:r>
        <w:rPr>
          <w:color w:val="auto"/>
        </w:rPr>
        <w:t>出台了一系列政策，鼓励和支持养老产业的发展。这些政策为养老综合体的建设提供了有力的保障和推动。</w:t>
      </w:r>
    </w:p>
    <w:p w14:paraId="5F220594">
      <w:pPr>
        <w:rPr>
          <w:color w:val="auto"/>
        </w:rPr>
      </w:pPr>
      <w:r>
        <w:rPr>
          <w:rFonts w:hint="eastAsia"/>
          <w:color w:val="auto"/>
          <w:lang w:val="en-US" w:eastAsia="zh-CN"/>
        </w:rPr>
        <w:t>4、</w:t>
      </w:r>
      <w:r>
        <w:rPr>
          <w:color w:val="auto"/>
        </w:rPr>
        <w:t>随着消费升级和老年人群体的多元化发展，高端、差异化的养老服务市场需求日益增长。养老综合体作为新型养老模式，具有较大的市场潜力和发展空间。</w:t>
      </w:r>
    </w:p>
    <w:p w14:paraId="65CBF38D">
      <w:pPr>
        <w:bidi w:val="0"/>
        <w:rPr>
          <w:color w:val="auto"/>
        </w:rPr>
      </w:pPr>
      <w:r>
        <w:rPr>
          <w:rFonts w:hint="eastAsia"/>
          <w:color w:val="auto"/>
          <w:lang w:val="en-US" w:eastAsia="zh-CN"/>
        </w:rPr>
        <w:t>5、客群分析：</w:t>
      </w:r>
      <w:r>
        <w:rPr>
          <w:color w:val="auto"/>
          <w:lang w:val="en-US" w:eastAsia="zh-CN"/>
        </w:rPr>
        <w:t>以满足老飞机场地块养老客群自身需求为前提，辐射周边社区的</w:t>
      </w:r>
      <w:r>
        <w:rPr>
          <w:rFonts w:hint="default"/>
          <w:color w:val="auto"/>
          <w:lang w:val="en-US" w:eastAsia="zh-CN"/>
        </w:rPr>
        <w:t>养老客群</w:t>
      </w:r>
      <w:r>
        <w:rPr>
          <w:rFonts w:hint="eastAsia"/>
          <w:color w:val="auto"/>
          <w:lang w:val="en-US" w:eastAsia="zh-CN"/>
        </w:rPr>
        <w:t>；</w:t>
      </w:r>
      <w:r>
        <w:rPr>
          <w:rFonts w:hint="default"/>
          <w:color w:val="auto"/>
          <w:lang w:val="en-US" w:eastAsia="zh-CN"/>
        </w:rPr>
        <w:t>综合考虑南侧医院就医人群需求，服务康复客群</w:t>
      </w:r>
      <w:r>
        <w:rPr>
          <w:rFonts w:hint="eastAsia"/>
          <w:color w:val="auto"/>
          <w:lang w:val="en-US" w:eastAsia="zh-CN"/>
        </w:rPr>
        <w:t>；</w:t>
      </w:r>
      <w:r>
        <w:rPr>
          <w:rFonts w:hint="default"/>
          <w:color w:val="auto"/>
          <w:lang w:val="en-US" w:eastAsia="zh-CN"/>
        </w:rPr>
        <w:t>针对特定功能老人，设置专业护理区域，吸引全市失智客群</w:t>
      </w:r>
      <w:r>
        <w:rPr>
          <w:rFonts w:hint="eastAsia"/>
          <w:color w:val="auto"/>
          <w:lang w:val="en-US" w:eastAsia="zh-CN"/>
        </w:rPr>
        <w:t>。</w:t>
      </w:r>
      <w:r>
        <w:rPr>
          <w:rFonts w:hint="default"/>
          <w:color w:val="auto"/>
          <w:lang w:val="en-US" w:eastAsia="zh-CN"/>
        </w:rPr>
        <w:t>通过医养结合，发觉周边社区就医陪护客群购买需求</w:t>
      </w:r>
      <w:r>
        <w:rPr>
          <w:rFonts w:hint="eastAsia"/>
          <w:color w:val="auto"/>
          <w:lang w:val="en-US" w:eastAsia="zh-CN"/>
        </w:rPr>
        <w:t>，</w:t>
      </w:r>
      <w:r>
        <w:rPr>
          <w:rFonts w:hint="default"/>
          <w:color w:val="auto"/>
          <w:lang w:val="en-US" w:eastAsia="zh-CN"/>
        </w:rPr>
        <w:t>结合周边生活配套设施及博物馆等资源，可触发新消费</w:t>
      </w:r>
      <w:r>
        <w:rPr>
          <w:rFonts w:hint="eastAsia"/>
          <w:color w:val="auto"/>
          <w:lang w:val="en-US" w:eastAsia="zh-CN"/>
        </w:rPr>
        <w:t>群。</w:t>
      </w:r>
    </w:p>
    <w:p w14:paraId="5DBA7D53">
      <w:pPr>
        <w:rPr>
          <w:color w:val="auto"/>
        </w:rPr>
      </w:pPr>
      <w:r>
        <w:rPr>
          <w:rFonts w:hint="eastAsia"/>
          <w:color w:val="auto"/>
          <w:lang w:eastAsia="zh-CN"/>
        </w:rPr>
        <w:t>扬州华璟养老产业有限公司GZ768地块康养项目</w:t>
      </w:r>
      <w:r>
        <w:rPr>
          <w:color w:val="auto"/>
        </w:rPr>
        <w:t>具有广阔的市场前景和较大的发展潜力。通过科学规划、合理布局和优质服务，能够满足老年人的多样化需求，推动养老产业的健康发展。</w:t>
      </w:r>
    </w:p>
    <w:p w14:paraId="10368C9A">
      <w:pPr>
        <w:pStyle w:val="3"/>
        <w:pageBreakBefore w:val="0"/>
        <w:widowControl/>
        <w:kinsoku/>
        <w:wordWrap w:val="0"/>
        <w:overflowPunct/>
        <w:topLinePunct/>
        <w:autoSpaceDE/>
        <w:autoSpaceDN/>
        <w:bidi w:val="0"/>
        <w:rPr>
          <w:rFonts w:hint="eastAsia"/>
          <w:color w:val="auto"/>
          <w:spacing w:val="0"/>
        </w:rPr>
      </w:pPr>
      <w:bookmarkStart w:id="118" w:name="_Toc14223"/>
      <w:bookmarkStart w:id="119" w:name="_Toc13443"/>
      <w:bookmarkStart w:id="120" w:name="_Toc24452"/>
      <w:bookmarkStart w:id="121" w:name="_Toc18300"/>
      <w:bookmarkStart w:id="122" w:name="_Toc15540"/>
      <w:bookmarkStart w:id="123" w:name="_Toc12764"/>
      <w:bookmarkStart w:id="124" w:name="_Toc6192"/>
      <w:bookmarkStart w:id="125" w:name="_Toc14132"/>
      <w:bookmarkStart w:id="126" w:name="_Toc17940"/>
      <w:bookmarkStart w:id="127" w:name="_Toc22058"/>
      <w:bookmarkStart w:id="128" w:name="_Toc22152"/>
      <w:r>
        <w:rPr>
          <w:rFonts w:hint="eastAsia"/>
          <w:color w:val="auto"/>
          <w:spacing w:val="0"/>
          <w:lang w:val="en-US" w:eastAsia="zh-CN"/>
        </w:rPr>
        <w:t>3.2</w:t>
      </w:r>
      <w:r>
        <w:rPr>
          <w:rFonts w:hint="eastAsia"/>
          <w:color w:val="auto"/>
          <w:spacing w:val="0"/>
        </w:rPr>
        <w:t>建设内容和规模</w:t>
      </w:r>
      <w:bookmarkEnd w:id="117"/>
      <w:bookmarkEnd w:id="118"/>
      <w:bookmarkEnd w:id="119"/>
      <w:bookmarkEnd w:id="120"/>
      <w:bookmarkEnd w:id="121"/>
      <w:bookmarkEnd w:id="122"/>
      <w:bookmarkEnd w:id="123"/>
      <w:bookmarkEnd w:id="124"/>
      <w:bookmarkEnd w:id="125"/>
      <w:bookmarkEnd w:id="126"/>
      <w:bookmarkEnd w:id="127"/>
      <w:bookmarkEnd w:id="128"/>
    </w:p>
    <w:p w14:paraId="4E2F3733">
      <w:pPr>
        <w:pageBreakBefore w:val="0"/>
        <w:widowControl/>
        <w:kinsoku/>
        <w:wordWrap w:val="0"/>
        <w:overflowPunct/>
        <w:topLinePunct/>
        <w:autoSpaceDE/>
        <w:autoSpaceDN/>
        <w:bidi w:val="0"/>
        <w:rPr>
          <w:rFonts w:hint="eastAsia"/>
          <w:color w:val="auto"/>
          <w:spacing w:val="0"/>
        </w:rPr>
      </w:pPr>
      <w:bookmarkStart w:id="129" w:name="_Toc28902"/>
      <w:bookmarkStart w:id="130" w:name="_Toc3613"/>
      <w:r>
        <w:rPr>
          <w:rFonts w:hint="eastAsia"/>
          <w:color w:val="auto"/>
          <w:lang w:val="en-US" w:eastAsia="zh-CN"/>
        </w:rPr>
        <w:t>项目总用地面积13532平方米，项目总计容面积24357.6平方米，其中地上计容面积22537.6平方米，地下计容面积1820平方米。同步实施景观绿化、健康步道、综合管网及道路等配套设施。</w:t>
      </w:r>
    </w:p>
    <w:p w14:paraId="4B60412C">
      <w:pPr>
        <w:pStyle w:val="3"/>
        <w:pageBreakBefore w:val="0"/>
        <w:widowControl/>
        <w:kinsoku/>
        <w:wordWrap w:val="0"/>
        <w:overflowPunct/>
        <w:topLinePunct/>
        <w:autoSpaceDE/>
        <w:autoSpaceDN/>
        <w:bidi w:val="0"/>
        <w:spacing w:after="0" w:afterLines="0"/>
        <w:rPr>
          <w:rFonts w:hint="eastAsia"/>
          <w:color w:val="auto"/>
          <w:spacing w:val="0"/>
        </w:rPr>
      </w:pPr>
      <w:bookmarkStart w:id="131" w:name="_Toc750"/>
      <w:bookmarkStart w:id="132" w:name="_Toc6239"/>
      <w:bookmarkStart w:id="133" w:name="_Toc21675"/>
      <w:bookmarkStart w:id="134" w:name="_Toc5647"/>
      <w:bookmarkStart w:id="135" w:name="_Toc17008"/>
      <w:bookmarkStart w:id="136" w:name="_Toc9448"/>
      <w:bookmarkStart w:id="137" w:name="_Toc1570"/>
      <w:bookmarkStart w:id="138" w:name="_Toc26107"/>
      <w:bookmarkStart w:id="139" w:name="_Toc14299"/>
      <w:bookmarkStart w:id="140" w:name="_Toc29203"/>
      <w:r>
        <w:rPr>
          <w:rFonts w:hint="eastAsia"/>
          <w:color w:val="auto"/>
          <w:spacing w:val="0"/>
          <w:lang w:val="en-US" w:eastAsia="zh-CN"/>
        </w:rPr>
        <w:t>3.3</w:t>
      </w:r>
      <w:r>
        <w:rPr>
          <w:rFonts w:hint="eastAsia"/>
          <w:color w:val="auto"/>
          <w:spacing w:val="0"/>
        </w:rPr>
        <w:t>项目产出方案</w:t>
      </w:r>
      <w:bookmarkEnd w:id="129"/>
      <w:bookmarkEnd w:id="130"/>
      <w:bookmarkEnd w:id="131"/>
      <w:bookmarkEnd w:id="132"/>
      <w:bookmarkEnd w:id="133"/>
      <w:bookmarkEnd w:id="134"/>
      <w:bookmarkEnd w:id="135"/>
      <w:bookmarkEnd w:id="136"/>
      <w:bookmarkEnd w:id="137"/>
      <w:bookmarkEnd w:id="138"/>
      <w:bookmarkEnd w:id="139"/>
      <w:bookmarkEnd w:id="140"/>
    </w:p>
    <w:p w14:paraId="4818F0C6">
      <w:pPr>
        <w:rPr>
          <w:color w:val="auto"/>
        </w:rPr>
      </w:pPr>
      <w:r>
        <w:rPr>
          <w:rFonts w:hint="eastAsia"/>
          <w:color w:val="auto"/>
        </w:rPr>
        <w:t>项目以融合之家、交往之家、照护之家、自然之家为主题，通过不同类型的功能设置，对应不同种类、不同形态老人的生活空间。整体地块分为南北两区。地块南侧距离医院较近，设置照护社区，结合失能照护、失智照护、康复护理三大功能，提供多样化、专业化的护理服务。地块北侧视野良好，距离北侧商业、配套及博物馆较近，设置活力社区，针对自理、半失能老人提供老年公寓及其配套设施。</w:t>
      </w:r>
    </w:p>
    <w:p w14:paraId="4FEA3671">
      <w:pPr>
        <w:rPr>
          <w:color w:val="auto"/>
        </w:rPr>
      </w:pPr>
      <w:r>
        <w:rPr>
          <w:color w:val="auto"/>
        </w:rPr>
        <w:t>1、居住服务：为老年人提供舒适、安全、便捷的居住环境，包括独立公寓、护理公寓和特别照护设施等。同时，配备完善的公共设施，如健身房、游泳池、图书馆、娱乐设施等，以满足老年人日常生活的各种需求。</w:t>
      </w:r>
    </w:p>
    <w:p w14:paraId="60609BE4">
      <w:pPr>
        <w:rPr>
          <w:color w:val="auto"/>
        </w:rPr>
      </w:pPr>
      <w:r>
        <w:rPr>
          <w:color w:val="auto"/>
        </w:rPr>
        <w:t>2、健康护理服务：提供专业的健康护理服务，包括定期的健康检查、疾病预防、康复训练、慢性病管理等服务。配备专业的医疗团队和急救设施，确保老年人的健康得到及时有效的保障。</w:t>
      </w:r>
    </w:p>
    <w:p w14:paraId="345CAA4E">
      <w:pPr>
        <w:rPr>
          <w:color w:val="auto"/>
        </w:rPr>
      </w:pPr>
      <w:r>
        <w:rPr>
          <w:color w:val="auto"/>
        </w:rPr>
        <w:t>3、文化娱乐活动：组织各类文化娱乐活动，如书法、绘画、音乐、舞蹈等，丰富老年人的精神生活。</w:t>
      </w:r>
    </w:p>
    <w:p w14:paraId="5AA0D102">
      <w:pPr>
        <w:rPr>
          <w:color w:val="auto"/>
        </w:rPr>
      </w:pPr>
      <w:r>
        <w:rPr>
          <w:color w:val="auto"/>
        </w:rPr>
        <w:t>4、精神慰藉服务：为老年人提供心理咨询、情感支持等服务，帮助他们保持良好的心理状态。</w:t>
      </w:r>
    </w:p>
    <w:p w14:paraId="59F745B4">
      <w:pPr>
        <w:rPr>
          <w:color w:val="auto"/>
        </w:rPr>
      </w:pPr>
      <w:r>
        <w:rPr>
          <w:rFonts w:hint="eastAsia"/>
          <w:color w:val="auto"/>
          <w:lang w:eastAsia="zh-CN"/>
        </w:rPr>
        <w:t>扬州华璟养老产业有限公司GZ768地块康养项目</w:t>
      </w:r>
      <w:r>
        <w:rPr>
          <w:color w:val="auto"/>
        </w:rPr>
        <w:t>将致力于为老年人创造一个舒适、安全、便利的养老环境，提升他们的生活质量，同时实现项目的经济效益和社会效益。</w:t>
      </w:r>
    </w:p>
    <w:p w14:paraId="4DFD0F9A">
      <w:pPr>
        <w:pageBreakBefore w:val="0"/>
        <w:widowControl/>
        <w:kinsoku/>
        <w:wordWrap w:val="0"/>
        <w:overflowPunct/>
        <w:topLinePunct/>
        <w:autoSpaceDE/>
        <w:autoSpaceDN/>
        <w:bidi w:val="0"/>
        <w:rPr>
          <w:rFonts w:hint="eastAsia"/>
          <w:color w:val="auto"/>
          <w:spacing w:val="0"/>
          <w:lang w:eastAsia="zh-CN"/>
        </w:rPr>
      </w:pPr>
    </w:p>
    <w:p w14:paraId="6A12ABA6">
      <w:pPr>
        <w:pageBreakBefore w:val="0"/>
        <w:widowControl/>
        <w:kinsoku/>
        <w:wordWrap w:val="0"/>
        <w:overflowPunct/>
        <w:topLinePunct/>
        <w:autoSpaceDE/>
        <w:autoSpaceDN/>
        <w:bidi w:val="0"/>
        <w:rPr>
          <w:rFonts w:hint="eastAsia"/>
          <w:color w:val="auto"/>
          <w:spacing w:val="0"/>
          <w:lang w:eastAsia="zh-CN"/>
        </w:rPr>
      </w:pPr>
    </w:p>
    <w:p w14:paraId="4270A82D">
      <w:pPr>
        <w:pageBreakBefore w:val="0"/>
        <w:widowControl/>
        <w:kinsoku/>
        <w:wordWrap w:val="0"/>
        <w:overflowPunct/>
        <w:topLinePunct/>
        <w:autoSpaceDE/>
        <w:autoSpaceDN/>
        <w:bidi w:val="0"/>
        <w:rPr>
          <w:rFonts w:hint="eastAsia"/>
          <w:color w:val="auto"/>
          <w:spacing w:val="0"/>
        </w:rPr>
        <w:sectPr>
          <w:pgSz w:w="11906" w:h="16839"/>
          <w:pgMar w:top="1440" w:right="1800" w:bottom="1440" w:left="1800" w:header="0" w:footer="0" w:gutter="0"/>
          <w:pgNumType w:fmt="decimal"/>
          <w:cols w:space="720" w:num="1"/>
        </w:sectPr>
      </w:pPr>
    </w:p>
    <w:p w14:paraId="310438FF">
      <w:pPr>
        <w:pStyle w:val="2"/>
        <w:pageBreakBefore w:val="0"/>
        <w:widowControl/>
        <w:kinsoku/>
        <w:wordWrap w:val="0"/>
        <w:overflowPunct/>
        <w:topLinePunct/>
        <w:autoSpaceDE/>
        <w:autoSpaceDN/>
        <w:bidi w:val="0"/>
        <w:rPr>
          <w:rFonts w:hint="eastAsia"/>
          <w:color w:val="auto"/>
          <w:spacing w:val="0"/>
        </w:rPr>
      </w:pPr>
      <w:bookmarkStart w:id="141" w:name="_Toc22041"/>
      <w:bookmarkStart w:id="142" w:name="_Toc10873"/>
      <w:bookmarkStart w:id="143" w:name="_Toc16593"/>
      <w:bookmarkStart w:id="144" w:name="_Toc28557"/>
      <w:bookmarkStart w:id="145" w:name="_Toc28528"/>
      <w:bookmarkStart w:id="146" w:name="_Toc19481"/>
      <w:bookmarkStart w:id="147" w:name="_Toc23254"/>
      <w:bookmarkStart w:id="148" w:name="_Toc20288"/>
      <w:bookmarkStart w:id="149" w:name="_Toc28284"/>
      <w:bookmarkStart w:id="150" w:name="_Toc7301"/>
      <w:bookmarkStart w:id="151" w:name="_Toc25329"/>
      <w:bookmarkStart w:id="152" w:name="_Toc25371"/>
      <w:r>
        <w:rPr>
          <w:rFonts w:hint="eastAsia"/>
          <w:color w:val="auto"/>
          <w:spacing w:val="0"/>
          <w:lang w:val="en-US" w:eastAsia="zh-CN"/>
        </w:rPr>
        <w:t xml:space="preserve">第四章  </w:t>
      </w:r>
      <w:r>
        <w:rPr>
          <w:rFonts w:hint="eastAsia"/>
          <w:color w:val="auto"/>
          <w:spacing w:val="0"/>
        </w:rPr>
        <w:t>项目选址与要素保障</w:t>
      </w:r>
      <w:bookmarkEnd w:id="141"/>
      <w:bookmarkEnd w:id="142"/>
      <w:bookmarkEnd w:id="143"/>
      <w:bookmarkEnd w:id="144"/>
      <w:bookmarkEnd w:id="145"/>
      <w:bookmarkEnd w:id="146"/>
      <w:bookmarkEnd w:id="147"/>
      <w:bookmarkEnd w:id="148"/>
      <w:bookmarkEnd w:id="149"/>
      <w:bookmarkEnd w:id="150"/>
      <w:bookmarkEnd w:id="151"/>
      <w:bookmarkEnd w:id="152"/>
    </w:p>
    <w:p w14:paraId="22914EDA">
      <w:pPr>
        <w:pStyle w:val="3"/>
        <w:pageBreakBefore w:val="0"/>
        <w:widowControl/>
        <w:kinsoku/>
        <w:wordWrap w:val="0"/>
        <w:overflowPunct/>
        <w:topLinePunct/>
        <w:autoSpaceDE/>
        <w:autoSpaceDN/>
        <w:bidi w:val="0"/>
        <w:rPr>
          <w:rFonts w:hint="eastAsia"/>
          <w:color w:val="auto"/>
          <w:spacing w:val="0"/>
          <w:lang w:val="en-US" w:eastAsia="zh-CN"/>
        </w:rPr>
      </w:pPr>
      <w:bookmarkStart w:id="153" w:name="_Toc17341"/>
      <w:bookmarkStart w:id="154" w:name="_Toc6700"/>
      <w:bookmarkStart w:id="155" w:name="_Toc28609"/>
      <w:bookmarkStart w:id="156" w:name="_Toc11609"/>
      <w:bookmarkStart w:id="157" w:name="_Toc9379"/>
      <w:bookmarkStart w:id="158" w:name="_Toc30327"/>
      <w:bookmarkStart w:id="159" w:name="_Toc14771"/>
      <w:bookmarkStart w:id="160" w:name="_Toc3627"/>
      <w:bookmarkStart w:id="161" w:name="_Toc26361"/>
      <w:bookmarkStart w:id="162" w:name="_Toc22208"/>
      <w:bookmarkStart w:id="163" w:name="_Toc2229"/>
      <w:bookmarkStart w:id="164" w:name="_Toc500"/>
      <w:r>
        <w:rPr>
          <w:rFonts w:hint="eastAsia"/>
          <w:color w:val="auto"/>
          <w:spacing w:val="0"/>
          <w:lang w:val="en-US" w:eastAsia="zh-CN"/>
        </w:rPr>
        <w:t>4.1</w:t>
      </w:r>
      <w:r>
        <w:rPr>
          <w:rFonts w:hint="eastAsia"/>
          <w:color w:val="auto"/>
          <w:spacing w:val="0"/>
        </w:rPr>
        <w:t>项目选址</w:t>
      </w:r>
      <w:bookmarkEnd w:id="153"/>
      <w:bookmarkEnd w:id="154"/>
      <w:bookmarkEnd w:id="155"/>
      <w:bookmarkEnd w:id="156"/>
      <w:bookmarkEnd w:id="157"/>
      <w:bookmarkEnd w:id="158"/>
      <w:bookmarkEnd w:id="159"/>
      <w:bookmarkEnd w:id="160"/>
      <w:bookmarkEnd w:id="161"/>
      <w:bookmarkEnd w:id="162"/>
      <w:bookmarkEnd w:id="163"/>
      <w:bookmarkEnd w:id="164"/>
    </w:p>
    <w:p w14:paraId="1E6040A0">
      <w:pPr>
        <w:pageBreakBefore w:val="0"/>
        <w:widowControl/>
        <w:kinsoku/>
        <w:wordWrap w:val="0"/>
        <w:overflowPunct/>
        <w:topLinePunct/>
        <w:autoSpaceDE/>
        <w:autoSpaceDN/>
        <w:bidi w:val="0"/>
        <w:rPr>
          <w:rFonts w:hint="eastAsia"/>
          <w:color w:val="auto"/>
          <w:spacing w:val="0"/>
          <w:lang w:val="en-US" w:eastAsia="zh-CN"/>
        </w:rPr>
      </w:pPr>
      <w:r>
        <w:rPr>
          <w:rFonts w:hint="eastAsia"/>
          <w:color w:val="auto"/>
          <w:spacing w:val="0"/>
          <w:lang w:val="en-US" w:eastAsia="zh-CN"/>
        </w:rPr>
        <w:t>扬州华璟养老产业有限公司GZ768地块康养项目位于邗江区，东至维扬路，南至友好医院，西至规划用地，北至邗杨路。</w:t>
      </w:r>
    </w:p>
    <w:p w14:paraId="4F0DF43F">
      <w:pPr>
        <w:pageBreakBefore w:val="0"/>
        <w:widowControl/>
        <w:kinsoku/>
        <w:wordWrap w:val="0"/>
        <w:overflowPunct/>
        <w:topLinePunct/>
        <w:autoSpaceDE/>
        <w:autoSpaceDN/>
        <w:bidi w:val="0"/>
        <w:rPr>
          <w:rFonts w:hint="eastAsia"/>
          <w:color w:val="auto"/>
          <w:spacing w:val="0"/>
          <w:lang w:val="en-US" w:eastAsia="zh-CN"/>
        </w:rPr>
      </w:pPr>
      <w:r>
        <w:rPr>
          <w:rFonts w:hint="eastAsia"/>
          <w:color w:val="auto"/>
          <w:spacing w:val="0"/>
          <w:lang w:val="en-US" w:eastAsia="zh-CN"/>
        </w:rPr>
        <w:t>项目不涉及矿产压覆、不占用永久基本农田、不涉及生态保护红线和省级生态空间管控区域。</w:t>
      </w:r>
    </w:p>
    <w:p w14:paraId="40AD6C42">
      <w:pPr>
        <w:pStyle w:val="3"/>
        <w:pageBreakBefore w:val="0"/>
        <w:widowControl/>
        <w:kinsoku/>
        <w:wordWrap w:val="0"/>
        <w:overflowPunct/>
        <w:topLinePunct/>
        <w:autoSpaceDE/>
        <w:autoSpaceDN/>
        <w:bidi w:val="0"/>
        <w:rPr>
          <w:rFonts w:hint="eastAsia"/>
          <w:color w:val="auto"/>
          <w:spacing w:val="0"/>
        </w:rPr>
      </w:pPr>
      <w:bookmarkStart w:id="165" w:name="_Toc7072"/>
      <w:bookmarkStart w:id="166" w:name="_Toc19538"/>
      <w:bookmarkStart w:id="167" w:name="_Toc17749"/>
      <w:bookmarkStart w:id="168" w:name="_Toc21552"/>
      <w:bookmarkStart w:id="169" w:name="_Toc14718"/>
      <w:bookmarkStart w:id="170" w:name="_Toc7282"/>
      <w:bookmarkStart w:id="171" w:name="_Toc14938"/>
      <w:bookmarkStart w:id="172" w:name="_Toc5120"/>
      <w:bookmarkStart w:id="173" w:name="_Toc20797"/>
      <w:bookmarkStart w:id="174" w:name="_Toc25554"/>
      <w:bookmarkStart w:id="175" w:name="_Toc20389"/>
      <w:bookmarkStart w:id="176" w:name="_Toc22727"/>
      <w:r>
        <w:rPr>
          <w:rFonts w:hint="eastAsia"/>
          <w:color w:val="auto"/>
          <w:spacing w:val="0"/>
          <w:lang w:val="en-US" w:eastAsia="zh-CN"/>
        </w:rPr>
        <w:t>4.2</w:t>
      </w:r>
      <w:r>
        <w:rPr>
          <w:rFonts w:hint="eastAsia"/>
          <w:color w:val="auto"/>
          <w:spacing w:val="0"/>
        </w:rPr>
        <w:t>项目建设条件</w:t>
      </w:r>
      <w:bookmarkEnd w:id="165"/>
      <w:bookmarkEnd w:id="166"/>
      <w:bookmarkEnd w:id="167"/>
      <w:bookmarkEnd w:id="168"/>
      <w:bookmarkEnd w:id="169"/>
      <w:bookmarkEnd w:id="170"/>
      <w:bookmarkEnd w:id="171"/>
      <w:bookmarkEnd w:id="172"/>
      <w:bookmarkEnd w:id="173"/>
      <w:bookmarkEnd w:id="174"/>
      <w:bookmarkEnd w:id="175"/>
      <w:bookmarkEnd w:id="176"/>
    </w:p>
    <w:p w14:paraId="60C95E6E">
      <w:pPr>
        <w:pageBreakBefore w:val="0"/>
        <w:widowControl/>
        <w:kinsoku/>
        <w:wordWrap w:val="0"/>
        <w:overflowPunct/>
        <w:topLinePunct/>
        <w:autoSpaceDE/>
        <w:autoSpaceDN/>
        <w:bidi w:val="0"/>
        <w:rPr>
          <w:rFonts w:hint="eastAsia"/>
          <w:color w:val="auto"/>
          <w:spacing w:val="0"/>
        </w:rPr>
      </w:pPr>
      <w:r>
        <w:rPr>
          <w:rFonts w:hint="eastAsia"/>
          <w:color w:val="auto"/>
          <w:spacing w:val="0"/>
        </w:rPr>
        <w:t>1、地理位置</w:t>
      </w:r>
    </w:p>
    <w:p w14:paraId="33B50D87">
      <w:pPr>
        <w:ind w:left="0" w:leftChars="0" w:firstLine="560" w:firstLineChars="200"/>
        <w:rPr>
          <w:color w:val="auto"/>
        </w:rPr>
      </w:pPr>
      <w:r>
        <w:rPr>
          <w:rFonts w:hint="eastAsia"/>
          <w:color w:val="auto"/>
        </w:rPr>
        <w:t>邗江区地处江苏省中部，长江北岸，南以长江为界与镇江市润州区相望，东与广陵区毗邻，西与仪征市接壤，北与高邮市相连，总面积546平方千米。</w:t>
      </w:r>
    </w:p>
    <w:p w14:paraId="15D482AA">
      <w:pPr>
        <w:rPr>
          <w:color w:val="auto"/>
        </w:rPr>
      </w:pPr>
      <w:r>
        <w:rPr>
          <w:color w:val="auto"/>
        </w:rPr>
        <w:t>双桥片区位于邗江区中东部边缘，地处邗江、广陵两区交界处。其东至广陵区汶河街道，北与瘦西湖街道接壤，南与文汇街道毗邻，西与西湖街道、邗上街道相依。双桥街道是扬州市人民政府所在地，距离邗江区人民政府2.5千米，辖域面积为6.39平方千米。</w:t>
      </w:r>
    </w:p>
    <w:p w14:paraId="16AB5504">
      <w:pPr>
        <w:pageBreakBefore w:val="0"/>
        <w:widowControl/>
        <w:kinsoku/>
        <w:wordWrap w:val="0"/>
        <w:overflowPunct/>
        <w:topLinePunct/>
        <w:autoSpaceDE/>
        <w:autoSpaceDN/>
        <w:bidi w:val="0"/>
        <w:rPr>
          <w:rFonts w:hint="eastAsia"/>
          <w:color w:val="auto"/>
          <w:spacing w:val="0"/>
        </w:rPr>
      </w:pPr>
      <w:r>
        <w:rPr>
          <w:rFonts w:hint="eastAsia"/>
          <w:color w:val="auto"/>
          <w:spacing w:val="0"/>
        </w:rPr>
        <w:t>2、地形与地貌</w:t>
      </w:r>
    </w:p>
    <w:p w14:paraId="608FC5BB">
      <w:pPr>
        <w:pageBreakBefore w:val="0"/>
        <w:widowControl/>
        <w:kinsoku/>
        <w:wordWrap w:val="0"/>
        <w:overflowPunct/>
        <w:topLinePunct/>
        <w:autoSpaceDE/>
        <w:autoSpaceDN/>
        <w:bidi w:val="0"/>
        <w:rPr>
          <w:rFonts w:hint="eastAsia"/>
          <w:color w:val="auto"/>
          <w:spacing w:val="0"/>
        </w:rPr>
      </w:pPr>
      <w:r>
        <w:rPr>
          <w:rFonts w:hint="eastAsia"/>
          <w:color w:val="auto"/>
          <w:spacing w:val="0"/>
        </w:rPr>
        <w:t>邗江区境域属新生代大地构造运动出现的长江下游区境，地势呈北高南低，地面无基岩显露，无高山峻岭，但地形高低起伏，丘陵与平原地貌差异显著。北部由西、两南向东、东北略呈簸箕形倾向邵伯湖；南部由北、西北向南、东南逐步低平至长江。全境陆地分为丘陵和平原两大类型，其中平原可分为滨湖湖积平原和长江冲积平原。位于境内西北部丘陵地区，为仪六浦丘陵东部边缘，约占陆地面积32.6%，地面真高8—35米，其最高处，亦是全境最高点为甘泉山，真高63米。由于地壳运动切割程度不同，西南部属缓高岗类型，地势起伏较大，真高10—35米，相对高程25米，坡度5—10度，岗、坡、塝、冲发育明显。中部为平岗类型，地势起伏不大，真高22—35米，相对高程13米左右，坡度3—5度。东（北）部属高平田类型，地势较平坦，真高8—15米，相对高程7米。位于邵伯湖西沿岸的湖积平原，占陆地面积16.8%，湖积平原背靠丘陵，隔湖与里下河地区相望，湖湾较多，地势低平，真高6—9米，局部3.4米左右，该地区土质粘重，稳水保肥，宜粮棉种植。水域广阔，水草丛生，多滩涂，适合水产业、畜禽业发展，尤其适宜鹅鸭等水禽饲养，成就了名闻遐迩的非物质文化遗产一一黄珏盐水鹅。境内长江冲积平原，占陆地面积50.6%，因成陆先后和土壤性质又分为以下两地区，一为高沙土平原地区，范围小，位于境内中部，原为古长江的几道天然江堤，沉积年代约为7000年。西北部较高，真高6.5—8米，东南较低，真高5—6.5米，地势平坦，自东向西稍有带状起伏。土壤以沙质为主，干燥少水，宜旱谷杂粮，油料种植。二是沿江平原地区，位于境内南部，由沙洲与河漫滩组成，成陆年代约千年。该地区地势低平，北高南低，高程2.3—5米，最低处仅为1.9米，由于长江的冲刷，南涨北坍，境内南部部分地段形成典型的凹岸边滩堆积。</w:t>
      </w:r>
    </w:p>
    <w:p w14:paraId="39B8284D">
      <w:pPr>
        <w:pageBreakBefore w:val="0"/>
        <w:widowControl/>
        <w:kinsoku/>
        <w:wordWrap w:val="0"/>
        <w:overflowPunct/>
        <w:topLinePunct/>
        <w:autoSpaceDE/>
        <w:autoSpaceDN/>
        <w:bidi w:val="0"/>
        <w:rPr>
          <w:rFonts w:hint="eastAsia"/>
          <w:color w:val="auto"/>
          <w:spacing w:val="0"/>
        </w:rPr>
      </w:pPr>
      <w:r>
        <w:rPr>
          <w:rFonts w:hint="eastAsia"/>
          <w:color w:val="auto"/>
          <w:spacing w:val="0"/>
        </w:rPr>
        <w:t>3、气象、水文</w:t>
      </w:r>
    </w:p>
    <w:p w14:paraId="7340C1C0">
      <w:pPr>
        <w:pageBreakBefore w:val="0"/>
        <w:widowControl/>
        <w:kinsoku/>
        <w:wordWrap w:val="0"/>
        <w:overflowPunct/>
        <w:topLinePunct/>
        <w:autoSpaceDE/>
        <w:autoSpaceDN/>
        <w:bidi w:val="0"/>
        <w:rPr>
          <w:rFonts w:hint="eastAsia"/>
          <w:color w:val="auto"/>
          <w:spacing w:val="0"/>
        </w:rPr>
      </w:pPr>
      <w:r>
        <w:rPr>
          <w:rFonts w:hint="eastAsia"/>
          <w:color w:val="auto"/>
          <w:spacing w:val="0"/>
        </w:rPr>
        <w:t>邗江区属亚热带季风性湿润气候向温带季风气候的过渡区，气候温和，雨量充沛，光照充足，四季分明，年平均气温14.8°C，年平均日照2172.3小时，年平均相对湿度为79%，年平均蒸发量为1411毫米，年平均无霜期222天，受季风和大气环流的影响，降雨量丰富，但时空分布极不均匀，多年平均降雨量1049.4毫米，最多的1991年，瓜洲为1710.4毫米；最少的1978年，三江营为389.2毫米，年平均雨日115天，且年降雨多集中在6—9月，此时恰为江淮汛期，以致洪涝灾害时有发生，汛期平均雨量瓜洲站为614.2毫米，约占全年的58%。梅雨期一般在6月上旬至7月中旬，多年平均为22天，梅期雨量平均248.8毫米，最多的1991年为848.9毫米，最少的1978年为0毫米，1991年瓜洲站雨量最大为928.9毫米。由于汛期降雨集中，又遭江淮高水位，造成地势低洼的平原圩区排水困难，更易成涝。而遭少雨和用水高峰期，又常是江淮来水量较枯的时期，旱情极易形成。</w:t>
      </w:r>
    </w:p>
    <w:p w14:paraId="041A858E">
      <w:pPr>
        <w:pageBreakBefore w:val="0"/>
        <w:widowControl/>
        <w:kinsoku/>
        <w:wordWrap w:val="0"/>
        <w:overflowPunct/>
        <w:topLinePunct/>
        <w:autoSpaceDE/>
        <w:autoSpaceDN/>
        <w:bidi w:val="0"/>
        <w:rPr>
          <w:rFonts w:hint="eastAsia"/>
          <w:color w:val="auto"/>
          <w:spacing w:val="0"/>
        </w:rPr>
      </w:pPr>
      <w:r>
        <w:rPr>
          <w:rFonts w:hint="eastAsia"/>
          <w:color w:val="auto"/>
          <w:spacing w:val="0"/>
        </w:rPr>
        <w:t>4、社会经济现状</w:t>
      </w:r>
    </w:p>
    <w:p w14:paraId="12F5375A">
      <w:pPr>
        <w:rPr>
          <w:color w:val="auto"/>
        </w:rPr>
      </w:pPr>
      <w:r>
        <w:rPr>
          <w:color w:val="auto"/>
        </w:rPr>
        <w:t>2024年，邗江区经济运行呈现稳中向好的发展态势。经初步核算，全区（含蜀冈-瘦西湖景区）实现地区生产总值1384.96亿元，按不变价格计算，同比增长6.0%。剔除蜀冈-瘦西湖景区，全区实现地区生产总值1274.94亿元，同比增长6.5%。人均地区生产总值达到较高水平。全年粮食种植面积有所增加，粮食总产保持在12.88万吨以上，同比增长0.45%。其中，夏粮总产同比增长2.34%，秋粮总产略降。蔬菜及食用菌播种面积和产量均有所增长。畜牧业方面，全年猪牛羊禽肉产量大幅增长63.2%。此外，全区纳入农业部家庭农场名录的家庭农场数量众多，农业龙头企业达31家，农作物耕种收综合机械化率较高。全区规上工业企业增加值同比增长显著，制造业增加值增长尤为突出。装备制造业、汽车及零部件产业、生物医药业、微电子产业、新能源及储能产业等均实现不同程度的增长。建筑业产值同比增长9.7%，房屋施工面积、新开工面积、竣工面积均有所变化。全年固定资产投资同比增长10.2%，其中工业投资增长较快，服务业投资略有下降。房地产开发投资完成额同比增长，商品房施工面积、竣工面积均有所增长，销售面积和销售额也保持一定水平。全区社会消费品零售总额同比增长7.1%，其中限额以上社会消费品零售总额增长更快。各类商品零售额均有不同程度增长，消费潜力有效释放。全区实现进出口总额同比增长较快，其中出口和进口均实现增长。实际利用外资有所下降，但制造业和高技术产业实际利用外资实现大幅增长。对外直接投资额也有所增长。全区公路货运量和货物周转率保持稳定。星级宾馆、旅行社、A级景区数量较多，为旅游业发展提供了有力支撑。此外，服务业发展势头良好，新增规上服务业企业数量较多。一般公共预算收入实现增长。全区各项社会保险参保人数众多，社会保障体系不断完善。全区新登记经营主体数量较多，城乡就业困难家庭动态“清零”。全年新增城镇就业人数、实现城镇失业人员就业人数、就业困难人员再就业人数均有所增长。城乡居民人均可支配收入也实现增长。</w:t>
      </w:r>
    </w:p>
    <w:p w14:paraId="6B88452C">
      <w:pPr>
        <w:rPr>
          <w:color w:val="auto"/>
        </w:rPr>
      </w:pPr>
      <w:r>
        <w:rPr>
          <w:color w:val="auto"/>
        </w:rPr>
        <w:t>2024年扬州市邗江区国民经济和社会发展取得了显著成效，经济运行稳中向好，各项事业蓬勃发展。</w:t>
      </w:r>
    </w:p>
    <w:p w14:paraId="47E38CB4">
      <w:pPr>
        <w:pageBreakBefore w:val="0"/>
        <w:widowControl/>
        <w:kinsoku/>
        <w:wordWrap w:val="0"/>
        <w:overflowPunct/>
        <w:topLinePunct/>
        <w:autoSpaceDE/>
        <w:autoSpaceDN/>
        <w:bidi w:val="0"/>
        <w:rPr>
          <w:rFonts w:hint="eastAsia"/>
          <w:color w:val="auto"/>
          <w:spacing w:val="0"/>
        </w:rPr>
      </w:pPr>
      <w:r>
        <w:rPr>
          <w:rFonts w:hint="eastAsia"/>
          <w:color w:val="auto"/>
          <w:spacing w:val="0"/>
          <w:lang w:val="en-US" w:eastAsia="zh-CN"/>
        </w:rPr>
        <w:t>5</w:t>
      </w:r>
      <w:r>
        <w:rPr>
          <w:rFonts w:hint="eastAsia"/>
          <w:color w:val="auto"/>
          <w:spacing w:val="0"/>
        </w:rPr>
        <w:t>、社会经济发展规划</w:t>
      </w:r>
    </w:p>
    <w:p w14:paraId="2D08FD9F">
      <w:pPr>
        <w:pageBreakBefore w:val="0"/>
        <w:widowControl/>
        <w:kinsoku/>
        <w:wordWrap w:val="0"/>
        <w:overflowPunct/>
        <w:topLinePunct/>
        <w:autoSpaceDE/>
        <w:autoSpaceDN/>
        <w:bidi w:val="0"/>
        <w:rPr>
          <w:rFonts w:hint="eastAsia"/>
          <w:color w:val="auto"/>
          <w:spacing w:val="0"/>
        </w:rPr>
      </w:pPr>
      <w:r>
        <w:rPr>
          <w:rFonts w:hint="eastAsia"/>
          <w:color w:val="auto"/>
          <w:spacing w:val="0"/>
        </w:rPr>
        <w:t>扬州市国民经济和社会发展第十四个五年规划和二〇三五年远景目标纲要“十四五”时期，扬州经济社会发展总体目标是：高水平全面建成小康社会成果得到全方位巩固，高质量发展走在全省前列，高品质生活大幅跃升，高效能治理成效彰显，“强富美高”新扬州建设迈上新的台阶，社会主义现代化建设新征程取得良好开局。</w:t>
      </w:r>
    </w:p>
    <w:p w14:paraId="1CD5E4F7">
      <w:pPr>
        <w:pageBreakBefore w:val="0"/>
        <w:widowControl/>
        <w:kinsoku/>
        <w:wordWrap w:val="0"/>
        <w:overflowPunct/>
        <w:topLinePunct/>
        <w:autoSpaceDE/>
        <w:autoSpaceDN/>
        <w:bidi w:val="0"/>
        <w:rPr>
          <w:rFonts w:hint="eastAsia"/>
          <w:color w:val="auto"/>
          <w:spacing w:val="0"/>
        </w:rPr>
      </w:pPr>
      <w:r>
        <w:rPr>
          <w:rFonts w:hint="eastAsia"/>
          <w:color w:val="auto"/>
          <w:spacing w:val="0"/>
        </w:rPr>
        <w:t>经济发展更高质量。经济运行更加稳健，经济结构更加优化，创新能力显著提升。地区生产总值年均增速在6%左右，人均地区生产总值达到17万元。现代产业体系加快构建，“323+1”先进制造业集群竞争力大幅提升，构建具有扬州特色、在全国有影响力的产业集群。服务业增加值占GDP比重达到50%以上。高新技术产业占规模以上工业产值比重达到50%，数字经济成为新的发展增长点。农业现代化走在全省前列。科技进步贡献率达68%，全社会R&amp;D支出占GDP比重提高到2.7%左右。城乡和区域发展更加协调，县域经济支撑作用明显增强。</w:t>
      </w:r>
    </w:p>
    <w:p w14:paraId="701347D4">
      <w:pPr>
        <w:pageBreakBefore w:val="0"/>
        <w:widowControl/>
        <w:kinsoku/>
        <w:wordWrap w:val="0"/>
        <w:overflowPunct/>
        <w:topLinePunct/>
        <w:autoSpaceDE/>
        <w:autoSpaceDN/>
        <w:bidi w:val="0"/>
        <w:rPr>
          <w:rFonts w:hint="eastAsia"/>
          <w:color w:val="auto"/>
          <w:spacing w:val="0"/>
        </w:rPr>
      </w:pPr>
      <w:r>
        <w:rPr>
          <w:rFonts w:hint="eastAsia"/>
          <w:color w:val="auto"/>
          <w:spacing w:val="0"/>
        </w:rPr>
        <w:t>幸福生活更高品质。就业更加充分更有质量。居民收入增长和经济增长基本同步。中等收入群体持续扩大，低收入群体增收长效机制基本建立，城乡居民收入比进一步降低。就业总量更加稳定，城镇调查失业率控制在5%左右。构建优质均衡的公共服务体系。高质量的教育体系、高水平的卫生健康体系基本建成，多层次社会保障体系、多元化养老服务体系更加完善，人民群众“衣食住行康育娱”水平显著提升。</w:t>
      </w:r>
    </w:p>
    <w:p w14:paraId="7AE8E598">
      <w:pPr>
        <w:pageBreakBefore w:val="0"/>
        <w:widowControl/>
        <w:kinsoku/>
        <w:wordWrap w:val="0"/>
        <w:overflowPunct/>
        <w:topLinePunct/>
        <w:autoSpaceDE/>
        <w:autoSpaceDN/>
        <w:bidi w:val="0"/>
        <w:rPr>
          <w:rFonts w:hint="eastAsia"/>
          <w:color w:val="auto"/>
          <w:spacing w:val="0"/>
        </w:rPr>
      </w:pPr>
      <w:r>
        <w:rPr>
          <w:rFonts w:hint="eastAsia"/>
          <w:color w:val="auto"/>
          <w:spacing w:val="0"/>
        </w:rPr>
        <w:t>美丽扬州更高颜值。美丽扬州建设的空间布局、发展路径、动力机制基本形成。生态产品供给稳步提升，生态环境质量明显改善，资源利用更加节约高效。主要污染物排放削减量达到省下达的控制目标。古城保护、老城更新与新城建设各具特色，城乡宜居品质显著提升。“世界运河之都”“世界美食之都”“东亚文化之都”品牌效应进一步放大，公共文化服务更加健全，文化产业加速发展，文旅品牌和文化标识更加彰显。</w:t>
      </w:r>
    </w:p>
    <w:p w14:paraId="3DC0A4A6">
      <w:pPr>
        <w:pageBreakBefore w:val="0"/>
        <w:widowControl/>
        <w:kinsoku/>
        <w:wordWrap w:val="0"/>
        <w:overflowPunct/>
        <w:topLinePunct/>
        <w:autoSpaceDE/>
        <w:autoSpaceDN/>
        <w:bidi w:val="0"/>
        <w:rPr>
          <w:rFonts w:hint="eastAsia"/>
          <w:color w:val="auto"/>
          <w:spacing w:val="0"/>
        </w:rPr>
      </w:pPr>
      <w:r>
        <w:rPr>
          <w:rFonts w:hint="eastAsia"/>
          <w:color w:val="auto"/>
          <w:spacing w:val="0"/>
        </w:rPr>
        <w:t>对外开放更高水平。以“一带一路”沿线和东亚国家为重点的对外合作不断深化，深度融入长三角区域一体化和宁镇扬一体化，全方位参与长江经济带建设，开发园区“二次创业”持续推进、“二次振兴”基本实现，开放型经济质量和水平持续提升，服务全国构建新发展格局取得新成效。深入推进重点领域和关键环节改革，高标准市场体系基本建成，要素市场化配置更加优化，市场主体更加充满活力，市场化法治化国际化营商环境基本形成。</w:t>
      </w:r>
    </w:p>
    <w:p w14:paraId="58DD8BAB">
      <w:pPr>
        <w:pageBreakBefore w:val="0"/>
        <w:widowControl/>
        <w:kinsoku/>
        <w:wordWrap w:val="0"/>
        <w:overflowPunct/>
        <w:topLinePunct/>
        <w:autoSpaceDE/>
        <w:autoSpaceDN/>
        <w:bidi w:val="0"/>
        <w:rPr>
          <w:rFonts w:hint="eastAsia"/>
          <w:color w:val="auto"/>
          <w:spacing w:val="0"/>
        </w:rPr>
      </w:pPr>
      <w:r>
        <w:rPr>
          <w:rFonts w:hint="eastAsia"/>
          <w:color w:val="auto"/>
          <w:spacing w:val="0"/>
        </w:rPr>
        <w:t>社会治理更高效能。社会主义核心价值观更加深入人心，全域创成全国文明城市。市域治理体系和治理能力现代化水平显著提升，社会治理“一网统管”、政务服务“一网通办”全面构建，党组织领导的自治、法治、德治相结合的城乡基层治理体系基本形成，创成全国市域社会治理现代化城市。重大风险防范化解能力、突发公共事件应急能力、防灾减灾救灾能力显著增强，城市本质安全更加巩固。</w:t>
      </w:r>
    </w:p>
    <w:p w14:paraId="63A3B5D2">
      <w:pPr>
        <w:bidi w:val="0"/>
        <w:rPr>
          <w:rFonts w:hint="eastAsia"/>
          <w:color w:val="auto"/>
        </w:rPr>
      </w:pPr>
      <w:r>
        <w:rPr>
          <w:rFonts w:hint="eastAsia"/>
          <w:color w:val="auto"/>
          <w:lang w:val="en-US" w:eastAsia="zh-CN"/>
        </w:rPr>
        <w:t>6</w:t>
      </w:r>
      <w:r>
        <w:rPr>
          <w:rFonts w:hint="eastAsia"/>
          <w:color w:val="auto"/>
        </w:rPr>
        <w:t>、</w:t>
      </w:r>
      <w:r>
        <w:rPr>
          <w:rFonts w:hint="eastAsia"/>
          <w:color w:val="auto"/>
          <w:lang w:eastAsia="zh-CN"/>
        </w:rPr>
        <w:t>周边配套</w:t>
      </w:r>
      <w:r>
        <w:rPr>
          <w:rFonts w:hint="eastAsia"/>
          <w:color w:val="auto"/>
        </w:rPr>
        <w:t>条件</w:t>
      </w:r>
    </w:p>
    <w:p w14:paraId="5D19E713">
      <w:pPr>
        <w:bidi w:val="0"/>
        <w:rPr>
          <w:rFonts w:hint="eastAsia"/>
          <w:color w:val="auto"/>
          <w:lang w:eastAsia="zh-CN"/>
        </w:rPr>
      </w:pPr>
      <w:r>
        <w:rPr>
          <w:rFonts w:hint="eastAsia"/>
          <w:color w:val="auto"/>
          <w:lang w:eastAsia="zh-CN"/>
        </w:rPr>
        <w:t>（</w:t>
      </w:r>
      <w:r>
        <w:rPr>
          <w:rFonts w:hint="eastAsia"/>
          <w:color w:val="auto"/>
          <w:lang w:val="en-US" w:eastAsia="zh-CN"/>
        </w:rPr>
        <w:t>1</w:t>
      </w:r>
      <w:r>
        <w:rPr>
          <w:rFonts w:hint="eastAsia"/>
          <w:color w:val="auto"/>
          <w:lang w:eastAsia="zh-CN"/>
        </w:rPr>
        <w:t>）路网发达，交通便利</w:t>
      </w:r>
    </w:p>
    <w:p w14:paraId="5DEF8B99">
      <w:pPr>
        <w:bidi w:val="0"/>
        <w:rPr>
          <w:rFonts w:hint="eastAsia"/>
          <w:color w:val="auto"/>
        </w:rPr>
      </w:pPr>
      <w:r>
        <w:rPr>
          <w:rFonts w:hint="eastAsia"/>
          <w:color w:val="auto"/>
          <w:lang w:eastAsia="zh-CN"/>
        </w:rPr>
        <w:t>扬州华璟养老产业有限公司GZ768地块康养项目</w:t>
      </w:r>
      <w:r>
        <w:rPr>
          <w:rFonts w:hint="eastAsia"/>
          <w:color w:val="auto"/>
        </w:rPr>
        <w:t>，紧邻瘦西湖，东侧为维扬路，北侧为邗杨路，交通便利。</w:t>
      </w:r>
    </w:p>
    <w:p w14:paraId="7EF95C12">
      <w:pPr>
        <w:bidi w:val="0"/>
        <w:rPr>
          <w:rFonts w:hint="eastAsia" w:eastAsia="宋体"/>
          <w:color w:val="auto"/>
          <w:lang w:eastAsia="zh-CN"/>
        </w:rPr>
      </w:pPr>
      <w:r>
        <w:rPr>
          <w:rFonts w:hint="eastAsia"/>
          <w:color w:val="auto"/>
          <w:lang w:eastAsia="zh-CN"/>
        </w:rPr>
        <w:t>（</w:t>
      </w:r>
      <w:r>
        <w:rPr>
          <w:rFonts w:hint="eastAsia"/>
          <w:color w:val="auto"/>
          <w:lang w:val="en-US" w:eastAsia="zh-CN"/>
        </w:rPr>
        <w:t>2</w:t>
      </w:r>
      <w:r>
        <w:rPr>
          <w:rFonts w:hint="eastAsia"/>
          <w:color w:val="auto"/>
          <w:lang w:eastAsia="zh-CN"/>
        </w:rPr>
        <w:t>）公园资源丰富，景观优越</w:t>
      </w:r>
    </w:p>
    <w:p w14:paraId="2FC88922">
      <w:pPr>
        <w:bidi w:val="0"/>
        <w:rPr>
          <w:rFonts w:hint="eastAsia"/>
          <w:color w:val="auto"/>
        </w:rPr>
      </w:pPr>
      <w:r>
        <w:rPr>
          <w:rFonts w:hint="eastAsia"/>
          <w:color w:val="auto"/>
        </w:rPr>
        <w:t>场地东北侧濒临瘦西湖风景区，西北侧为蜀冈生态体育公园，景观资源优越。</w:t>
      </w:r>
    </w:p>
    <w:p w14:paraId="2252B0C5">
      <w:pPr>
        <w:bidi w:val="0"/>
        <w:rPr>
          <w:rFonts w:hint="eastAsia"/>
          <w:color w:val="auto"/>
        </w:rPr>
      </w:pPr>
      <w:r>
        <w:rPr>
          <w:rFonts w:hint="eastAsia"/>
          <w:color w:val="auto"/>
          <w:lang w:eastAsia="zh-CN"/>
        </w:rPr>
        <w:t>（</w:t>
      </w:r>
      <w:r>
        <w:rPr>
          <w:rFonts w:hint="eastAsia"/>
          <w:color w:val="auto"/>
          <w:lang w:val="en-US" w:eastAsia="zh-CN"/>
        </w:rPr>
        <w:t>3</w:t>
      </w:r>
      <w:r>
        <w:rPr>
          <w:rFonts w:hint="eastAsia"/>
          <w:color w:val="auto"/>
          <w:lang w:eastAsia="zh-CN"/>
        </w:rPr>
        <w:t>）</w:t>
      </w:r>
      <w:r>
        <w:rPr>
          <w:rFonts w:hint="eastAsia"/>
          <w:color w:val="auto"/>
        </w:rPr>
        <w:t>商业</w:t>
      </w:r>
    </w:p>
    <w:p w14:paraId="62F34149">
      <w:pPr>
        <w:bidi w:val="0"/>
        <w:rPr>
          <w:rFonts w:hint="eastAsia"/>
          <w:color w:val="auto"/>
        </w:rPr>
      </w:pPr>
      <w:r>
        <w:rPr>
          <w:rFonts w:hint="eastAsia"/>
          <w:color w:val="auto"/>
        </w:rPr>
        <w:t>周边小型社区商业完善，临近有新天地商业街和扬州印象汇两大商业中心。</w:t>
      </w:r>
    </w:p>
    <w:p w14:paraId="055A400B">
      <w:pPr>
        <w:bidi w:val="0"/>
        <w:rPr>
          <w:rFonts w:hint="eastAsia"/>
          <w:color w:val="auto"/>
        </w:rPr>
      </w:pPr>
      <w:r>
        <w:rPr>
          <w:rFonts w:hint="eastAsia"/>
          <w:color w:val="auto"/>
          <w:lang w:eastAsia="zh-CN"/>
        </w:rPr>
        <w:t>（</w:t>
      </w:r>
      <w:r>
        <w:rPr>
          <w:rFonts w:hint="eastAsia"/>
          <w:color w:val="auto"/>
          <w:lang w:val="en-US" w:eastAsia="zh-CN"/>
        </w:rPr>
        <w:t>4</w:t>
      </w:r>
      <w:r>
        <w:rPr>
          <w:rFonts w:hint="eastAsia"/>
          <w:color w:val="auto"/>
          <w:lang w:eastAsia="zh-CN"/>
        </w:rPr>
        <w:t>）</w:t>
      </w:r>
      <w:r>
        <w:rPr>
          <w:rFonts w:hint="eastAsia"/>
          <w:color w:val="auto"/>
        </w:rPr>
        <w:t>医疗</w:t>
      </w:r>
    </w:p>
    <w:p w14:paraId="37F50278">
      <w:pPr>
        <w:bidi w:val="0"/>
        <w:rPr>
          <w:rFonts w:hint="eastAsia"/>
          <w:color w:val="auto"/>
        </w:rPr>
      </w:pPr>
      <w:r>
        <w:rPr>
          <w:rFonts w:hint="eastAsia"/>
          <w:color w:val="auto"/>
        </w:rPr>
        <w:t>地块南侧紧邻扬州友好医院，周边设置邗江区人民医院、翠岗社区卫生服务站等多级医疗设施，医疗医院完备。</w:t>
      </w:r>
    </w:p>
    <w:p w14:paraId="01F2B544">
      <w:pPr>
        <w:bidi w:val="0"/>
        <w:rPr>
          <w:rFonts w:hint="eastAsia"/>
          <w:color w:val="auto"/>
        </w:rPr>
      </w:pPr>
      <w:r>
        <w:rPr>
          <w:rFonts w:hint="eastAsia"/>
          <w:color w:val="auto"/>
          <w:lang w:eastAsia="zh-CN"/>
        </w:rPr>
        <w:t>（</w:t>
      </w:r>
      <w:r>
        <w:rPr>
          <w:rFonts w:hint="eastAsia"/>
          <w:color w:val="auto"/>
          <w:lang w:val="en-US" w:eastAsia="zh-CN"/>
        </w:rPr>
        <w:t>5</w:t>
      </w:r>
      <w:r>
        <w:rPr>
          <w:rFonts w:hint="eastAsia"/>
          <w:color w:val="auto"/>
          <w:lang w:eastAsia="zh-CN"/>
        </w:rPr>
        <w:t>）</w:t>
      </w:r>
      <w:r>
        <w:rPr>
          <w:rFonts w:hint="eastAsia"/>
          <w:color w:val="auto"/>
        </w:rPr>
        <w:t>教育</w:t>
      </w:r>
    </w:p>
    <w:p w14:paraId="2A0EC8A2">
      <w:pPr>
        <w:bidi w:val="0"/>
        <w:rPr>
          <w:rFonts w:hint="eastAsia"/>
          <w:color w:val="auto"/>
          <w:lang w:eastAsia="zh-CN"/>
        </w:rPr>
      </w:pPr>
      <w:r>
        <w:rPr>
          <w:rFonts w:hint="eastAsia"/>
          <w:color w:val="auto"/>
        </w:rPr>
        <w:t>周边地段从幼儿园至中小学配置完善，临近有扬州大学</w:t>
      </w:r>
      <w:r>
        <w:rPr>
          <w:rFonts w:hint="eastAsia"/>
          <w:color w:val="auto"/>
          <w:lang w:eastAsia="zh-CN"/>
        </w:rPr>
        <w:t>。</w:t>
      </w:r>
    </w:p>
    <w:p w14:paraId="78C6071A">
      <w:pPr>
        <w:bidi w:val="0"/>
        <w:rPr>
          <w:rFonts w:hint="eastAsia"/>
          <w:color w:val="auto"/>
          <w:lang w:eastAsia="zh-CN"/>
        </w:rPr>
      </w:pPr>
      <w:r>
        <w:rPr>
          <w:rFonts w:hint="eastAsia"/>
          <w:color w:val="auto"/>
          <w:lang w:eastAsia="zh-CN"/>
        </w:rPr>
        <w:t>（</w:t>
      </w:r>
      <w:r>
        <w:rPr>
          <w:rFonts w:hint="eastAsia"/>
          <w:color w:val="auto"/>
          <w:lang w:val="en-US" w:eastAsia="zh-CN"/>
        </w:rPr>
        <w:t>6</w:t>
      </w:r>
      <w:r>
        <w:rPr>
          <w:rFonts w:hint="eastAsia"/>
          <w:color w:val="auto"/>
          <w:lang w:eastAsia="zh-CN"/>
        </w:rPr>
        <w:t>）周边养老设施</w:t>
      </w:r>
    </w:p>
    <w:p w14:paraId="7D938244">
      <w:pPr>
        <w:bidi w:val="0"/>
        <w:rPr>
          <w:rFonts w:hint="eastAsia"/>
          <w:color w:val="auto"/>
          <w:lang w:val="en-US" w:eastAsia="zh-CN"/>
        </w:rPr>
      </w:pPr>
      <w:r>
        <w:rPr>
          <w:rFonts w:hint="eastAsia"/>
          <w:color w:val="auto"/>
          <w:lang w:val="en-US" w:eastAsia="zh-CN"/>
        </w:rPr>
        <w:t>1）华安老年公寓：经营范围包括收养、寄养老年人、为</w:t>
      </w:r>
    </w:p>
    <w:p w14:paraId="04A50B4E">
      <w:pPr>
        <w:bidi w:val="0"/>
        <w:ind w:left="0" w:leftChars="0" w:firstLine="0" w:firstLineChars="0"/>
        <w:rPr>
          <w:rFonts w:hint="eastAsia"/>
          <w:color w:val="auto"/>
          <w:lang w:val="en-US" w:eastAsia="zh-CN"/>
        </w:rPr>
      </w:pPr>
      <w:r>
        <w:rPr>
          <w:rFonts w:hint="eastAsia"/>
          <w:color w:val="auto"/>
          <w:lang w:val="en-US" w:eastAsia="zh-CN"/>
        </w:rPr>
        <w:t>老年人提供食宿、生活和护理服务，健康老人为主。</w:t>
      </w:r>
    </w:p>
    <w:p w14:paraId="3D83F0CC">
      <w:pPr>
        <w:bidi w:val="0"/>
        <w:rPr>
          <w:rFonts w:hint="eastAsia"/>
          <w:color w:val="auto"/>
          <w:lang w:val="en-US" w:eastAsia="zh-CN"/>
        </w:rPr>
      </w:pPr>
      <w:r>
        <w:rPr>
          <w:rFonts w:hint="eastAsia"/>
          <w:color w:val="auto"/>
          <w:lang w:val="en-US" w:eastAsia="zh-CN"/>
        </w:rPr>
        <w:t>2）扬州曜阳养老服务中心：集养老、康复、疗养于一体的养老机构。</w:t>
      </w:r>
    </w:p>
    <w:p w14:paraId="1E9D1C5E">
      <w:pPr>
        <w:bidi w:val="0"/>
        <w:rPr>
          <w:rFonts w:hint="eastAsia"/>
          <w:color w:val="auto"/>
          <w:lang w:val="en-US" w:eastAsia="zh-CN"/>
        </w:rPr>
      </w:pPr>
      <w:r>
        <w:rPr>
          <w:rFonts w:hint="eastAsia"/>
          <w:color w:val="auto"/>
          <w:lang w:val="en-US" w:eastAsia="zh-CN"/>
        </w:rPr>
        <w:t>3）双桥街道社区居家养老服务中心：提供“照料+护理”的居家养老服务模式，将社区打造成没有围墙的养老院。</w:t>
      </w:r>
    </w:p>
    <w:p w14:paraId="7A5C4356">
      <w:pPr>
        <w:pStyle w:val="3"/>
        <w:pageBreakBefore w:val="0"/>
        <w:widowControl/>
        <w:kinsoku/>
        <w:wordWrap w:val="0"/>
        <w:overflowPunct/>
        <w:topLinePunct/>
        <w:autoSpaceDE/>
        <w:autoSpaceDN/>
        <w:bidi w:val="0"/>
        <w:rPr>
          <w:rFonts w:hint="eastAsia"/>
          <w:color w:val="auto"/>
        </w:rPr>
      </w:pPr>
      <w:bookmarkStart w:id="177" w:name="_Toc22902"/>
      <w:bookmarkStart w:id="178" w:name="_Toc27022"/>
      <w:bookmarkStart w:id="179" w:name="_Toc5266"/>
      <w:bookmarkStart w:id="180" w:name="_Toc29179"/>
      <w:bookmarkStart w:id="181" w:name="_Toc21069"/>
      <w:bookmarkStart w:id="182" w:name="_Toc8747"/>
      <w:bookmarkStart w:id="183" w:name="_Toc6477"/>
      <w:bookmarkStart w:id="184" w:name="_Toc5340"/>
      <w:bookmarkStart w:id="185" w:name="_Toc15330"/>
      <w:bookmarkStart w:id="186" w:name="_Toc23970"/>
      <w:bookmarkStart w:id="187" w:name="_Toc30836"/>
      <w:bookmarkStart w:id="188" w:name="_Toc30223"/>
      <w:bookmarkStart w:id="189" w:name="_Toc10095"/>
      <w:bookmarkStart w:id="190" w:name="_Toc11244"/>
      <w:bookmarkStart w:id="191" w:name="_Toc24228"/>
      <w:r>
        <w:rPr>
          <w:rFonts w:hint="eastAsia"/>
          <w:color w:val="auto"/>
          <w:lang w:val="en-US" w:eastAsia="zh-CN"/>
        </w:rPr>
        <w:t>4.3</w:t>
      </w:r>
      <w:r>
        <w:rPr>
          <w:rFonts w:hint="eastAsia"/>
          <w:color w:val="auto"/>
        </w:rPr>
        <w:t>要素保障分析</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79054D7B">
      <w:pPr>
        <w:pStyle w:val="4"/>
        <w:pageBreakBefore w:val="0"/>
        <w:widowControl/>
        <w:kinsoku/>
        <w:wordWrap w:val="0"/>
        <w:overflowPunct/>
        <w:topLinePunct/>
        <w:autoSpaceDE/>
        <w:autoSpaceDN/>
        <w:bidi w:val="0"/>
        <w:rPr>
          <w:rFonts w:hint="eastAsia"/>
          <w:color w:val="auto"/>
          <w:lang w:val="en-US" w:eastAsia="zh-CN"/>
        </w:rPr>
      </w:pPr>
      <w:bookmarkStart w:id="192" w:name="_Toc3272"/>
      <w:r>
        <w:rPr>
          <w:rFonts w:hint="eastAsia"/>
          <w:color w:val="auto"/>
          <w:lang w:val="en-US" w:eastAsia="zh-CN"/>
        </w:rPr>
        <w:t>4.3.1土地要素保障</w:t>
      </w:r>
      <w:bookmarkEnd w:id="192"/>
    </w:p>
    <w:p w14:paraId="0FC423F5">
      <w:pPr>
        <w:pageBreakBefore w:val="0"/>
        <w:widowControl/>
        <w:kinsoku/>
        <w:wordWrap w:val="0"/>
        <w:overflowPunct/>
        <w:topLinePunct/>
        <w:autoSpaceDE/>
        <w:autoSpaceDN/>
        <w:bidi w:val="0"/>
        <w:rPr>
          <w:rFonts w:hint="eastAsia"/>
          <w:color w:val="auto"/>
          <w:lang w:val="en-US" w:eastAsia="zh-CN"/>
        </w:rPr>
      </w:pPr>
      <w:r>
        <w:rPr>
          <w:rFonts w:hint="eastAsia"/>
          <w:color w:val="auto"/>
          <w:lang w:val="en-US" w:eastAsia="zh-CN"/>
        </w:rPr>
        <w:t>1、合规性分析</w:t>
      </w:r>
    </w:p>
    <w:p w14:paraId="4A11343D">
      <w:pPr>
        <w:pageBreakBefore w:val="0"/>
        <w:widowControl/>
        <w:kinsoku/>
        <w:wordWrap w:val="0"/>
        <w:overflowPunct/>
        <w:topLinePunct/>
        <w:autoSpaceDE/>
        <w:autoSpaceDN/>
        <w:bidi w:val="0"/>
        <w:rPr>
          <w:rFonts w:hint="eastAsia"/>
          <w:color w:val="auto"/>
          <w:lang w:val="en-US" w:eastAsia="zh-CN"/>
        </w:rPr>
      </w:pPr>
      <w:r>
        <w:rPr>
          <w:rFonts w:hint="eastAsia"/>
          <w:color w:val="auto"/>
          <w:lang w:val="en-US" w:eastAsia="zh-CN"/>
        </w:rPr>
        <w:t>本项目作为房地产开发项目，符合项目所在区域的城市规划和国土空间规划近期实施方案。根据《产业结构调整指标目录（2024年本）》，建设项目为鼓励类；未列入国家和江苏省《限制用地项目目录》和《禁止用地项目目录》，符合国家和江苏省产业政策和供地政策；项目不涉及永久基本农田、国家级生态保护红线和省级生态空间管控区域。</w:t>
      </w:r>
    </w:p>
    <w:p w14:paraId="0F8FFFDF">
      <w:pPr>
        <w:pageBreakBefore w:val="0"/>
        <w:widowControl/>
        <w:kinsoku/>
        <w:wordWrap w:val="0"/>
        <w:overflowPunct/>
        <w:topLinePunct/>
        <w:autoSpaceDE/>
        <w:autoSpaceDN/>
        <w:bidi w:val="0"/>
        <w:rPr>
          <w:rFonts w:hint="eastAsia"/>
          <w:color w:val="auto"/>
          <w:lang w:val="en-US" w:eastAsia="zh-CN"/>
        </w:rPr>
      </w:pPr>
      <w:r>
        <w:rPr>
          <w:rFonts w:hint="eastAsia"/>
          <w:color w:val="auto"/>
          <w:lang w:val="en-US" w:eastAsia="zh-CN"/>
        </w:rPr>
        <w:t>2、节地分析</w:t>
      </w:r>
    </w:p>
    <w:p w14:paraId="6B1FBE7A">
      <w:pPr>
        <w:pageBreakBefore w:val="0"/>
        <w:widowControl/>
        <w:kinsoku/>
        <w:wordWrap w:val="0"/>
        <w:overflowPunct/>
        <w:topLinePunct/>
        <w:autoSpaceDE/>
        <w:autoSpaceDN/>
        <w:bidi w:val="0"/>
        <w:rPr>
          <w:rFonts w:hint="eastAsia"/>
          <w:color w:val="auto"/>
          <w:lang w:val="en-US" w:eastAsia="zh-CN"/>
        </w:rPr>
      </w:pPr>
      <w:r>
        <w:rPr>
          <w:rFonts w:hint="eastAsia"/>
          <w:color w:val="auto"/>
          <w:lang w:val="en-US" w:eastAsia="zh-CN"/>
        </w:rPr>
        <w:t>本次项目用地面积为1.3532公顷，不占用耕地。</w:t>
      </w:r>
    </w:p>
    <w:p w14:paraId="4F00C7F1">
      <w:pPr>
        <w:pageBreakBefore w:val="0"/>
        <w:widowControl/>
        <w:kinsoku/>
        <w:wordWrap w:val="0"/>
        <w:overflowPunct/>
        <w:topLinePunct/>
        <w:autoSpaceDE/>
        <w:autoSpaceDN/>
        <w:bidi w:val="0"/>
        <w:rPr>
          <w:rFonts w:hint="eastAsia"/>
          <w:color w:val="auto"/>
          <w:lang w:val="en-US" w:eastAsia="zh-CN"/>
        </w:rPr>
      </w:pPr>
      <w:r>
        <w:rPr>
          <w:rFonts w:hint="eastAsia"/>
          <w:color w:val="auto"/>
          <w:lang w:val="en-US" w:eastAsia="zh-CN"/>
        </w:rPr>
        <w:t>采用的技术方案在参照相关技术标准和用地指标的基础上，结合城市防洪排涝等实际情况进行规划设计的；功能分区也是按照工程的需要进行合理划分。</w:t>
      </w:r>
    </w:p>
    <w:p w14:paraId="519F2C2F">
      <w:pPr>
        <w:pageBreakBefore w:val="0"/>
        <w:widowControl/>
        <w:kinsoku/>
        <w:wordWrap w:val="0"/>
        <w:overflowPunct/>
        <w:topLinePunct/>
        <w:autoSpaceDE/>
        <w:autoSpaceDN/>
        <w:bidi w:val="0"/>
        <w:rPr>
          <w:rFonts w:hint="eastAsia"/>
          <w:color w:val="auto"/>
          <w:lang w:val="en-US" w:eastAsia="zh-CN"/>
        </w:rPr>
      </w:pPr>
      <w:r>
        <w:rPr>
          <w:rFonts w:hint="eastAsia"/>
          <w:color w:val="auto"/>
          <w:lang w:val="en-US" w:eastAsia="zh-CN"/>
        </w:rPr>
        <w:t>根据省自然资源厅《关于积极做好用地用海要素保障的通知》（苏自然资发〔2022〕303号）要求，项目符合《省政府关于扬州市国土空间总体规划（2021－2035年）的批复》（苏政复〔2023〕22号）、《N5单元[双桥北片区]控制性详细规划》。</w:t>
      </w:r>
    </w:p>
    <w:p w14:paraId="61D4D771">
      <w:pPr>
        <w:pageBreakBefore w:val="0"/>
        <w:widowControl/>
        <w:kinsoku/>
        <w:wordWrap w:val="0"/>
        <w:overflowPunct/>
        <w:topLinePunct/>
        <w:autoSpaceDE/>
        <w:autoSpaceDN/>
        <w:bidi w:val="0"/>
        <w:rPr>
          <w:rFonts w:hint="eastAsia"/>
          <w:color w:val="auto"/>
          <w:lang w:val="en-US" w:eastAsia="zh-CN"/>
        </w:rPr>
      </w:pPr>
      <w:r>
        <w:rPr>
          <w:rFonts w:hint="eastAsia"/>
          <w:color w:val="auto"/>
          <w:lang w:val="en-US" w:eastAsia="zh-CN"/>
        </w:rPr>
        <w:t>项目用地符合相关产业政策和用地政策，符合节约集约的用地要求；用地规模基本符合要求，项目用地严格按照节约集约的规定。</w:t>
      </w:r>
    </w:p>
    <w:p w14:paraId="2DE898FD">
      <w:pPr>
        <w:pStyle w:val="4"/>
        <w:pageBreakBefore w:val="0"/>
        <w:widowControl/>
        <w:kinsoku/>
        <w:wordWrap w:val="0"/>
        <w:overflowPunct/>
        <w:topLinePunct/>
        <w:autoSpaceDE/>
        <w:autoSpaceDN/>
        <w:bidi w:val="0"/>
        <w:rPr>
          <w:color w:val="auto"/>
        </w:rPr>
      </w:pPr>
      <w:r>
        <w:rPr>
          <w:color w:val="auto"/>
        </w:rPr>
        <w:t>4.3.2资源环境要素保障</w:t>
      </w:r>
    </w:p>
    <w:p w14:paraId="31A687C9">
      <w:pPr>
        <w:pStyle w:val="5"/>
        <w:pageBreakBefore w:val="0"/>
        <w:widowControl/>
        <w:kinsoku/>
        <w:wordWrap w:val="0"/>
        <w:overflowPunct/>
        <w:topLinePunct/>
        <w:autoSpaceDE/>
        <w:autoSpaceDN/>
        <w:bidi w:val="0"/>
        <w:rPr>
          <w:rFonts w:hint="eastAsia"/>
          <w:color w:val="auto"/>
          <w:lang w:val="en-US" w:eastAsia="zh-CN"/>
        </w:rPr>
      </w:pPr>
      <w:r>
        <w:rPr>
          <w:rFonts w:hint="eastAsia"/>
          <w:color w:val="auto"/>
          <w:lang w:val="en-US" w:eastAsia="zh-CN"/>
        </w:rPr>
        <w:t>4.3.2.1污染源分析</w:t>
      </w:r>
    </w:p>
    <w:p w14:paraId="62EC3F35">
      <w:pPr>
        <w:pageBreakBefore w:val="0"/>
        <w:widowControl/>
        <w:kinsoku/>
        <w:wordWrap w:val="0"/>
        <w:overflowPunct/>
        <w:topLinePunct/>
        <w:autoSpaceDE/>
        <w:autoSpaceDN/>
        <w:bidi w:val="0"/>
        <w:rPr>
          <w:rFonts w:hint="eastAsia"/>
          <w:color w:val="auto"/>
          <w:lang w:val="en-US" w:eastAsia="zh-CN"/>
        </w:rPr>
      </w:pPr>
      <w:r>
        <w:rPr>
          <w:rFonts w:hint="eastAsia"/>
          <w:color w:val="auto"/>
          <w:lang w:val="en-US" w:eastAsia="zh-CN"/>
        </w:rPr>
        <w:t>本工程是养老产业开发项目，因此应对工程污染应给予足够的重视，并采取强有力的治理措施，以确保各项排放指标满足国家和地方的有关标准。</w:t>
      </w:r>
    </w:p>
    <w:p w14:paraId="6463AD13">
      <w:pPr>
        <w:bidi w:val="0"/>
        <w:rPr>
          <w:rFonts w:hint="eastAsia"/>
          <w:color w:val="auto"/>
          <w:lang w:val="en-US" w:eastAsia="zh-CN"/>
        </w:rPr>
      </w:pPr>
      <w:r>
        <w:rPr>
          <w:rFonts w:hint="eastAsia"/>
          <w:color w:val="auto"/>
          <w:lang w:val="en-US" w:eastAsia="zh-CN"/>
        </w:rPr>
        <w:t>一、施工期环境影响因素</w:t>
      </w:r>
    </w:p>
    <w:p w14:paraId="5955C2DE">
      <w:pPr>
        <w:bidi w:val="0"/>
        <w:rPr>
          <w:rFonts w:hint="eastAsia"/>
          <w:color w:val="auto"/>
          <w:lang w:val="en-US" w:eastAsia="zh-CN"/>
        </w:rPr>
      </w:pPr>
      <w:r>
        <w:rPr>
          <w:rFonts w:hint="eastAsia"/>
          <w:color w:val="auto"/>
          <w:lang w:val="en-US" w:eastAsia="zh-CN"/>
        </w:rPr>
        <w:t>1、施工队伍进入现场，排放生活垃圾的污染。</w:t>
      </w:r>
    </w:p>
    <w:p w14:paraId="05B97803">
      <w:pPr>
        <w:bidi w:val="0"/>
        <w:rPr>
          <w:rFonts w:hint="eastAsia"/>
          <w:color w:val="auto"/>
          <w:lang w:val="en-US" w:eastAsia="zh-CN"/>
        </w:rPr>
      </w:pPr>
      <w:r>
        <w:rPr>
          <w:rFonts w:hint="eastAsia"/>
          <w:color w:val="auto"/>
          <w:lang w:val="en-US" w:eastAsia="zh-CN"/>
        </w:rPr>
        <w:t>2、施工机械运作产生的轻微噪声。</w:t>
      </w:r>
    </w:p>
    <w:p w14:paraId="45D58167">
      <w:pPr>
        <w:bidi w:val="0"/>
        <w:rPr>
          <w:rFonts w:hint="eastAsia"/>
          <w:color w:val="auto"/>
          <w:lang w:val="en-US" w:eastAsia="zh-CN"/>
        </w:rPr>
      </w:pPr>
      <w:r>
        <w:rPr>
          <w:rFonts w:hint="eastAsia"/>
          <w:color w:val="auto"/>
          <w:lang w:val="en-US" w:eastAsia="zh-CN"/>
        </w:rPr>
        <w:t>3、施工的扬尘、气味和噪声、固废。</w:t>
      </w:r>
    </w:p>
    <w:p w14:paraId="20399051">
      <w:pPr>
        <w:bidi w:val="0"/>
        <w:rPr>
          <w:rFonts w:hint="eastAsia"/>
          <w:color w:val="auto"/>
          <w:lang w:val="en-US" w:eastAsia="zh-CN"/>
        </w:rPr>
      </w:pPr>
      <w:r>
        <w:rPr>
          <w:rFonts w:hint="eastAsia"/>
          <w:color w:val="auto"/>
          <w:lang w:val="en-US" w:eastAsia="zh-CN"/>
        </w:rPr>
        <w:t>二、运营期环境影响因素</w:t>
      </w:r>
    </w:p>
    <w:p w14:paraId="10B3D70F">
      <w:pPr>
        <w:bidi w:val="0"/>
        <w:rPr>
          <w:rFonts w:hint="eastAsia"/>
          <w:color w:val="auto"/>
          <w:lang w:val="en-US" w:eastAsia="zh-CN"/>
        </w:rPr>
      </w:pPr>
      <w:r>
        <w:rPr>
          <w:rFonts w:hint="eastAsia"/>
          <w:color w:val="auto"/>
          <w:lang w:val="en-US" w:eastAsia="zh-CN"/>
        </w:rPr>
        <w:t>1、项目产生的少量生活污水。</w:t>
      </w:r>
    </w:p>
    <w:p w14:paraId="5C8D2BB9">
      <w:pPr>
        <w:bidi w:val="0"/>
        <w:rPr>
          <w:rFonts w:hint="eastAsia"/>
          <w:color w:val="auto"/>
          <w:lang w:val="en-US" w:eastAsia="zh-CN"/>
        </w:rPr>
      </w:pPr>
      <w:r>
        <w:rPr>
          <w:rFonts w:hint="eastAsia"/>
          <w:color w:val="auto"/>
          <w:lang w:val="en-US" w:eastAsia="zh-CN"/>
        </w:rPr>
        <w:t>2、少量生活垃圾。</w:t>
      </w:r>
    </w:p>
    <w:p w14:paraId="7AB52BBE">
      <w:pPr>
        <w:bidi w:val="0"/>
        <w:rPr>
          <w:rFonts w:hint="default"/>
          <w:color w:val="auto"/>
          <w:lang w:val="en-US" w:eastAsia="zh-CN"/>
        </w:rPr>
      </w:pPr>
      <w:r>
        <w:rPr>
          <w:rFonts w:hint="eastAsia"/>
          <w:color w:val="auto"/>
          <w:lang w:val="en-US" w:eastAsia="zh-CN"/>
        </w:rPr>
        <w:t>3、项目建成后，使得车辆增多，区域环境噪声也相应增加。</w:t>
      </w:r>
    </w:p>
    <w:p w14:paraId="2F75046D">
      <w:pPr>
        <w:pStyle w:val="5"/>
        <w:pageBreakBefore w:val="0"/>
        <w:widowControl/>
        <w:kinsoku/>
        <w:wordWrap w:val="0"/>
        <w:overflowPunct/>
        <w:topLinePunct/>
        <w:autoSpaceDE/>
        <w:autoSpaceDN/>
        <w:bidi w:val="0"/>
        <w:rPr>
          <w:rFonts w:hint="eastAsia"/>
          <w:color w:val="auto"/>
          <w:lang w:val="en-US" w:eastAsia="zh-CN"/>
        </w:rPr>
      </w:pPr>
      <w:r>
        <w:rPr>
          <w:rFonts w:hint="eastAsia"/>
          <w:color w:val="auto"/>
          <w:lang w:val="en-US" w:eastAsia="zh-CN"/>
        </w:rPr>
        <w:t>4.3.2.2环境保护控制措施</w:t>
      </w:r>
    </w:p>
    <w:p w14:paraId="6A4D3439">
      <w:pPr>
        <w:bidi w:val="0"/>
        <w:rPr>
          <w:rFonts w:hint="eastAsia"/>
          <w:color w:val="auto"/>
          <w:lang w:val="en-US" w:eastAsia="zh-CN"/>
        </w:rPr>
      </w:pPr>
      <w:r>
        <w:rPr>
          <w:rFonts w:hint="eastAsia"/>
          <w:color w:val="auto"/>
          <w:lang w:val="en-US" w:eastAsia="zh-CN"/>
        </w:rPr>
        <w:t>一、施工期环境保护控制措施</w:t>
      </w:r>
    </w:p>
    <w:p w14:paraId="7B44FB63">
      <w:pPr>
        <w:bidi w:val="0"/>
        <w:rPr>
          <w:rFonts w:hint="eastAsia"/>
          <w:color w:val="auto"/>
          <w:lang w:val="en-US" w:eastAsia="zh-CN"/>
        </w:rPr>
      </w:pPr>
      <w:r>
        <w:rPr>
          <w:rFonts w:hint="eastAsia"/>
          <w:color w:val="auto"/>
          <w:lang w:val="en-US" w:eastAsia="zh-CN"/>
        </w:rPr>
        <w:t>1、施工噪声</w:t>
      </w:r>
    </w:p>
    <w:p w14:paraId="1A02012D">
      <w:pPr>
        <w:bidi w:val="0"/>
        <w:rPr>
          <w:rFonts w:hint="eastAsia"/>
          <w:color w:val="auto"/>
          <w:lang w:val="en-US" w:eastAsia="zh-CN"/>
        </w:rPr>
      </w:pPr>
      <w:r>
        <w:rPr>
          <w:rFonts w:hint="eastAsia"/>
          <w:color w:val="auto"/>
          <w:lang w:val="en-US" w:eastAsia="zh-CN"/>
        </w:rPr>
        <w:t>本次环境影响评价的重点为施工期产生的环境噪声，主要的噪声源为施工作业机械，不同施工机械噪声水平相差很大。为最大程度的减轻噪声污染，施工单位应做到：</w:t>
      </w:r>
    </w:p>
    <w:p w14:paraId="7D03C75B">
      <w:pPr>
        <w:bidi w:val="0"/>
        <w:rPr>
          <w:rFonts w:hint="eastAsia"/>
          <w:color w:val="auto"/>
          <w:lang w:val="en-US" w:eastAsia="zh-CN"/>
        </w:rPr>
      </w:pPr>
      <w:r>
        <w:rPr>
          <w:rFonts w:hint="eastAsia"/>
          <w:color w:val="auto"/>
          <w:lang w:val="en-US" w:eastAsia="zh-CN"/>
        </w:rPr>
        <w:t>选用先进的低噪声设备，在高噪声设备周围适当设置屏障一减轻噪声对周围环境的影响，控制施工场界噪声不超过《建筑施工场界环境噪声排放标准》GB12523-2011的要求。</w:t>
      </w:r>
    </w:p>
    <w:p w14:paraId="4E9FC5FB">
      <w:pPr>
        <w:bidi w:val="0"/>
        <w:rPr>
          <w:rFonts w:hint="eastAsia"/>
          <w:color w:val="auto"/>
          <w:lang w:val="en-US" w:eastAsia="zh-CN"/>
        </w:rPr>
      </w:pPr>
      <w:r>
        <w:rPr>
          <w:rFonts w:hint="eastAsia"/>
          <w:color w:val="auto"/>
          <w:lang w:val="en-US" w:eastAsia="zh-CN"/>
        </w:rPr>
        <w:t>尽心安排，加强施工现场管理，尽量不在夜间施工，需要夜间施工的要申请施工证并严格控制施工时间。</w:t>
      </w:r>
    </w:p>
    <w:p w14:paraId="033489E5">
      <w:pPr>
        <w:bidi w:val="0"/>
        <w:rPr>
          <w:rFonts w:hint="eastAsia"/>
          <w:color w:val="auto"/>
          <w:lang w:val="en-US" w:eastAsia="zh-CN"/>
        </w:rPr>
      </w:pPr>
      <w:r>
        <w:rPr>
          <w:rFonts w:hint="eastAsia"/>
          <w:color w:val="auto"/>
          <w:lang w:val="en-US" w:eastAsia="zh-CN"/>
        </w:rPr>
        <w:t>加强对施工机械的维护保养，避免由于设备性能差而增加机械噪声的现象发生。</w:t>
      </w:r>
    </w:p>
    <w:p w14:paraId="77744512">
      <w:pPr>
        <w:bidi w:val="0"/>
        <w:rPr>
          <w:rFonts w:hint="eastAsia"/>
          <w:color w:val="auto"/>
          <w:lang w:val="en-US" w:eastAsia="zh-CN"/>
        </w:rPr>
      </w:pPr>
      <w:r>
        <w:rPr>
          <w:rFonts w:hint="eastAsia"/>
          <w:color w:val="auto"/>
          <w:lang w:val="en-US" w:eastAsia="zh-CN"/>
        </w:rPr>
        <w:t>对于必须使用的高噪声设备，必须在地方环境保护行政主管部门登记备案：如果因施工必要，则需要先申报地方环境保护行政主管部门，经审批后方可施工。</w:t>
      </w:r>
    </w:p>
    <w:p w14:paraId="07332571">
      <w:pPr>
        <w:bidi w:val="0"/>
        <w:rPr>
          <w:rFonts w:hint="eastAsia"/>
          <w:color w:val="auto"/>
          <w:lang w:val="en-US" w:eastAsia="zh-CN"/>
        </w:rPr>
      </w:pPr>
      <w:r>
        <w:rPr>
          <w:rFonts w:hint="eastAsia"/>
          <w:color w:val="auto"/>
          <w:lang w:val="en-US" w:eastAsia="zh-CN"/>
        </w:rPr>
        <w:t>2、施工废水</w:t>
      </w:r>
    </w:p>
    <w:p w14:paraId="795D67E4">
      <w:pPr>
        <w:bidi w:val="0"/>
        <w:rPr>
          <w:rFonts w:hint="eastAsia"/>
          <w:color w:val="auto"/>
          <w:lang w:val="en-US" w:eastAsia="zh-CN"/>
        </w:rPr>
      </w:pPr>
      <w:r>
        <w:rPr>
          <w:rFonts w:hint="eastAsia"/>
          <w:color w:val="auto"/>
          <w:lang w:val="en-US" w:eastAsia="zh-CN"/>
        </w:rPr>
        <w:t>建筑施工期间的废水包括建筑废水。建筑废水主要包括冲洗施工机械、工具、地面等产生的废水以及水泥砂浆、石灰浆废液。为最大程度的减轻废水污染，施工单位应做到：</w:t>
      </w:r>
    </w:p>
    <w:p w14:paraId="6939A4E8">
      <w:pPr>
        <w:bidi w:val="0"/>
        <w:rPr>
          <w:rFonts w:hint="eastAsia"/>
          <w:color w:val="auto"/>
          <w:lang w:val="en-US" w:eastAsia="zh-CN"/>
        </w:rPr>
      </w:pPr>
      <w:r>
        <w:rPr>
          <w:rFonts w:hint="eastAsia"/>
          <w:color w:val="auto"/>
          <w:lang w:val="en-US" w:eastAsia="zh-CN"/>
        </w:rPr>
        <w:t>施工现场因地制宜，对含油量较高的施工机械冲洗水或悬浮物含量高的其它施工废水需经处理后排入。</w:t>
      </w:r>
    </w:p>
    <w:p w14:paraId="26589C89">
      <w:pPr>
        <w:bidi w:val="0"/>
        <w:rPr>
          <w:rFonts w:hint="eastAsia"/>
          <w:color w:val="auto"/>
          <w:lang w:val="en-US" w:eastAsia="zh-CN"/>
        </w:rPr>
      </w:pPr>
      <w:r>
        <w:rPr>
          <w:rFonts w:hint="eastAsia"/>
          <w:color w:val="auto"/>
          <w:lang w:val="en-US" w:eastAsia="zh-CN"/>
        </w:rPr>
        <w:t>砂浆和石灰浆等废液应集中沉淀处理，干燥后与固体废物一起处置。</w:t>
      </w:r>
    </w:p>
    <w:p w14:paraId="77463D5C">
      <w:pPr>
        <w:bidi w:val="0"/>
        <w:rPr>
          <w:rFonts w:hint="eastAsia"/>
          <w:color w:val="auto"/>
          <w:lang w:val="en-US" w:eastAsia="zh-CN"/>
        </w:rPr>
      </w:pPr>
      <w:r>
        <w:rPr>
          <w:rFonts w:hint="eastAsia"/>
          <w:color w:val="auto"/>
          <w:lang w:val="en-US" w:eastAsia="zh-CN"/>
        </w:rPr>
        <w:t>3、施工扬尘</w:t>
      </w:r>
    </w:p>
    <w:p w14:paraId="545D4A22">
      <w:pPr>
        <w:bidi w:val="0"/>
        <w:rPr>
          <w:rFonts w:hint="eastAsia"/>
          <w:color w:val="auto"/>
          <w:lang w:val="en-US" w:eastAsia="zh-CN"/>
        </w:rPr>
      </w:pPr>
      <w:r>
        <w:rPr>
          <w:rFonts w:hint="eastAsia"/>
          <w:color w:val="auto"/>
          <w:lang w:val="en-US" w:eastAsia="zh-CN"/>
        </w:rPr>
        <w:t>施工材料装卸和运输等施工过程会产生大量的粉尘，为最大程度的减轻扬尘污染，施工单位将贯彻“清洁生产”的要求，做到：装运建筑垃圾低于车厢挡板，减少途中撒落，对施工现场抛洒的砂石、水泥等物料应及时清扫定时洒水抑尘。</w:t>
      </w:r>
    </w:p>
    <w:p w14:paraId="47A4E307">
      <w:pPr>
        <w:bidi w:val="0"/>
        <w:rPr>
          <w:rFonts w:hint="eastAsia"/>
          <w:color w:val="auto"/>
          <w:lang w:val="en-US" w:eastAsia="zh-CN"/>
        </w:rPr>
      </w:pPr>
      <w:r>
        <w:rPr>
          <w:rFonts w:hint="eastAsia"/>
          <w:color w:val="auto"/>
          <w:lang w:val="en-US" w:eastAsia="zh-CN"/>
        </w:rPr>
        <w:t>限制车速。施工场地的扬尘，大部分来自施工车辆，在同样的清洁程度的条件下，车速越慢，扬尘量越小。本场地施工车辆在进入施工场地时，将减速行驶，以减少施工场地扬尘。</w:t>
      </w:r>
    </w:p>
    <w:p w14:paraId="24F6230C">
      <w:pPr>
        <w:bidi w:val="0"/>
        <w:rPr>
          <w:rFonts w:hint="eastAsia"/>
          <w:color w:val="auto"/>
          <w:lang w:val="en-US" w:eastAsia="zh-CN"/>
        </w:rPr>
      </w:pPr>
      <w:r>
        <w:rPr>
          <w:rFonts w:hint="eastAsia"/>
          <w:color w:val="auto"/>
          <w:lang w:val="en-US" w:eastAsia="zh-CN"/>
        </w:rPr>
        <w:t>禁止现场搅拌水泥砂浆，采用商品混凝土。</w:t>
      </w:r>
    </w:p>
    <w:p w14:paraId="06BF3999">
      <w:pPr>
        <w:bidi w:val="0"/>
        <w:rPr>
          <w:rFonts w:hint="eastAsia"/>
          <w:color w:val="auto"/>
          <w:lang w:val="en-US" w:eastAsia="zh-CN"/>
        </w:rPr>
      </w:pPr>
      <w:r>
        <w:rPr>
          <w:rFonts w:hint="eastAsia"/>
          <w:color w:val="auto"/>
          <w:lang w:val="en-US" w:eastAsia="zh-CN"/>
        </w:rPr>
        <w:t>避免大风天气作业。尽量避免在大风天气下进行水泥、黄砂等的装卸作业，对水泥类物资尽可能不要露天堆放，即使必须露天堆放，也要注意加盖防雨布，减少大风造成的施工扬尘。</w:t>
      </w:r>
    </w:p>
    <w:p w14:paraId="54ADDE10">
      <w:pPr>
        <w:bidi w:val="0"/>
        <w:rPr>
          <w:rFonts w:hint="eastAsia"/>
          <w:color w:val="auto"/>
          <w:lang w:val="en-US" w:eastAsia="zh-CN"/>
        </w:rPr>
      </w:pPr>
      <w:r>
        <w:rPr>
          <w:rFonts w:hint="eastAsia"/>
          <w:color w:val="auto"/>
          <w:lang w:val="en-US" w:eastAsia="zh-CN"/>
        </w:rPr>
        <w:t>4、建筑垃圾</w:t>
      </w:r>
    </w:p>
    <w:p w14:paraId="3A88427E">
      <w:pPr>
        <w:bidi w:val="0"/>
        <w:rPr>
          <w:rFonts w:hint="eastAsia"/>
          <w:color w:val="auto"/>
          <w:lang w:val="en-US" w:eastAsia="zh-CN"/>
        </w:rPr>
      </w:pPr>
      <w:r>
        <w:rPr>
          <w:rFonts w:hint="eastAsia"/>
          <w:color w:val="auto"/>
          <w:lang w:val="en-US" w:eastAsia="zh-CN"/>
        </w:rPr>
        <w:t>在施工期间，其原拆除的建筑废物及时清运，以免影响周围环境。</w:t>
      </w:r>
    </w:p>
    <w:p w14:paraId="279593E0">
      <w:pPr>
        <w:bidi w:val="0"/>
        <w:rPr>
          <w:rFonts w:hint="eastAsia"/>
          <w:color w:val="auto"/>
          <w:lang w:val="en-US" w:eastAsia="zh-CN"/>
        </w:rPr>
      </w:pPr>
      <w:r>
        <w:rPr>
          <w:rFonts w:hint="eastAsia"/>
          <w:color w:val="auto"/>
          <w:lang w:val="en-US" w:eastAsia="zh-CN"/>
        </w:rPr>
        <w:t>施工人员在此生活期间产生的生活垃圾要集中定点收集，纳入生活垃圾清运系统，不得任意堆放和丢弃，以减少对环境的影响。</w:t>
      </w:r>
    </w:p>
    <w:p w14:paraId="7CDC179E">
      <w:pPr>
        <w:bidi w:val="0"/>
        <w:rPr>
          <w:rFonts w:hint="eastAsia"/>
          <w:color w:val="auto"/>
          <w:lang w:val="en-US" w:eastAsia="zh-CN"/>
        </w:rPr>
      </w:pPr>
      <w:r>
        <w:rPr>
          <w:rFonts w:hint="eastAsia"/>
          <w:color w:val="auto"/>
          <w:lang w:val="en-US" w:eastAsia="zh-CN"/>
        </w:rPr>
        <w:t>二、运营期环境保护控制措施</w:t>
      </w:r>
    </w:p>
    <w:p w14:paraId="2E9F57D3">
      <w:pPr>
        <w:bidi w:val="0"/>
        <w:rPr>
          <w:rFonts w:hint="eastAsia"/>
          <w:color w:val="auto"/>
          <w:lang w:val="en-US" w:eastAsia="zh-CN"/>
        </w:rPr>
      </w:pPr>
      <w:r>
        <w:rPr>
          <w:rFonts w:hint="eastAsia"/>
          <w:color w:val="auto"/>
          <w:lang w:val="en-US" w:eastAsia="zh-CN"/>
        </w:rPr>
        <w:t>1、废水</w:t>
      </w:r>
    </w:p>
    <w:p w14:paraId="6D5C180D">
      <w:pPr>
        <w:bidi w:val="0"/>
        <w:rPr>
          <w:rFonts w:hint="eastAsia"/>
          <w:color w:val="auto"/>
          <w:lang w:val="en-US" w:eastAsia="zh-CN"/>
        </w:rPr>
      </w:pPr>
      <w:r>
        <w:rPr>
          <w:rFonts w:hint="eastAsia"/>
          <w:color w:val="auto"/>
          <w:lang w:val="en-US" w:eastAsia="zh-CN"/>
        </w:rPr>
        <w:t>项目产生的少量生活污水拟经区域配套建设的二级污水构筑物处理后，通过市政污水管网输送至污水处理厂处理达标后排放，确保该部分生活污水达到《污水综合排放标准》（CB8978-1996）中的一级标准后排放，因此对当地水环境影响较小。</w:t>
      </w:r>
    </w:p>
    <w:p w14:paraId="72A61542">
      <w:pPr>
        <w:bidi w:val="0"/>
        <w:rPr>
          <w:rFonts w:hint="eastAsia"/>
          <w:color w:val="auto"/>
          <w:lang w:val="en-US" w:eastAsia="zh-CN"/>
        </w:rPr>
      </w:pPr>
      <w:r>
        <w:rPr>
          <w:rFonts w:hint="eastAsia"/>
          <w:color w:val="auto"/>
          <w:lang w:val="en-US" w:eastAsia="zh-CN"/>
        </w:rPr>
        <w:t>2、固体废弃物</w:t>
      </w:r>
    </w:p>
    <w:p w14:paraId="480ED77C">
      <w:pPr>
        <w:bidi w:val="0"/>
        <w:rPr>
          <w:rFonts w:hint="eastAsia"/>
          <w:color w:val="auto"/>
          <w:lang w:val="en-US" w:eastAsia="zh-CN"/>
        </w:rPr>
      </w:pPr>
      <w:r>
        <w:rPr>
          <w:rFonts w:hint="eastAsia"/>
          <w:color w:val="auto"/>
          <w:lang w:val="en-US" w:eastAsia="zh-CN"/>
        </w:rPr>
        <w:t>本次项目的固体废弃物为少量生活垃圾。根据扬州市环卫管理办法，由环卫部门统一每天及时清运，送至垃圾处理场处理，确保不对当地环境造成影响。</w:t>
      </w:r>
    </w:p>
    <w:p w14:paraId="4AD5DC35">
      <w:pPr>
        <w:bidi w:val="0"/>
        <w:rPr>
          <w:rFonts w:hint="eastAsia"/>
          <w:color w:val="auto"/>
          <w:lang w:val="en-US" w:eastAsia="zh-CN"/>
        </w:rPr>
      </w:pPr>
      <w:r>
        <w:rPr>
          <w:rFonts w:hint="eastAsia"/>
          <w:color w:val="auto"/>
          <w:lang w:val="en-US" w:eastAsia="zh-CN"/>
        </w:rPr>
        <w:t>3、噪声</w:t>
      </w:r>
    </w:p>
    <w:p w14:paraId="45A1C246">
      <w:pPr>
        <w:bidi w:val="0"/>
        <w:rPr>
          <w:rFonts w:hint="default"/>
          <w:color w:val="auto"/>
          <w:lang w:val="en-US" w:eastAsia="zh-CN"/>
        </w:rPr>
        <w:sectPr>
          <w:headerReference r:id="rId7" w:type="default"/>
          <w:footerReference r:id="rId8" w:type="default"/>
          <w:pgSz w:w="11906" w:h="16839"/>
          <w:pgMar w:top="1440" w:right="1800" w:bottom="1440" w:left="1800" w:header="1020" w:footer="1020" w:gutter="0"/>
          <w:pgNumType w:fmt="decimal"/>
          <w:cols w:space="720" w:num="1"/>
        </w:sectPr>
      </w:pPr>
      <w:r>
        <w:rPr>
          <w:rFonts w:hint="eastAsia"/>
          <w:color w:val="auto"/>
          <w:lang w:val="en-US" w:eastAsia="zh-CN"/>
        </w:rPr>
        <w:t>本次项目建成后，使得车辆增多，区域环境噪声也相应增加，噪声源主要为营运可能产生的噪声，如车辆行使、使用音箱噪声等。项目方在项目建设中应合理布局，限制进库车辆的型号、速度以及鸣号，重视区域绿化，确保营运期噪声不对周围居民点居民生活造成影响。</w:t>
      </w:r>
    </w:p>
    <w:p w14:paraId="316F87DD">
      <w:pPr>
        <w:pStyle w:val="2"/>
        <w:pageBreakBefore w:val="0"/>
        <w:widowControl/>
        <w:kinsoku/>
        <w:wordWrap w:val="0"/>
        <w:overflowPunct/>
        <w:topLinePunct/>
        <w:autoSpaceDE/>
        <w:autoSpaceDN/>
        <w:bidi w:val="0"/>
        <w:rPr>
          <w:rFonts w:hint="eastAsia"/>
          <w:color w:val="auto"/>
        </w:rPr>
      </w:pPr>
      <w:bookmarkStart w:id="193" w:name="_Toc31280"/>
      <w:bookmarkStart w:id="194" w:name="_Toc28418"/>
      <w:bookmarkStart w:id="195" w:name="_Toc22129"/>
      <w:bookmarkStart w:id="196" w:name="_Toc30543"/>
      <w:bookmarkStart w:id="197" w:name="_Toc192"/>
      <w:bookmarkStart w:id="198" w:name="_Toc23934"/>
      <w:bookmarkStart w:id="199" w:name="_Toc11613"/>
      <w:bookmarkStart w:id="200" w:name="_Toc16630"/>
      <w:bookmarkStart w:id="201" w:name="_Toc30070"/>
      <w:bookmarkStart w:id="202" w:name="_Toc11678"/>
      <w:bookmarkStart w:id="203" w:name="_Toc13652"/>
      <w:bookmarkStart w:id="204" w:name="_Toc11703"/>
      <w:r>
        <w:rPr>
          <w:rFonts w:hint="eastAsia"/>
          <w:color w:val="auto"/>
          <w:lang w:val="en-US" w:eastAsia="zh-CN"/>
        </w:rPr>
        <w:t>第五章</w:t>
      </w:r>
      <w:r>
        <w:rPr>
          <w:rFonts w:hint="eastAsia"/>
          <w:color w:val="auto"/>
        </w:rPr>
        <w:t>项目建设管理方案</w:t>
      </w:r>
      <w:bookmarkEnd w:id="193"/>
      <w:bookmarkEnd w:id="194"/>
      <w:bookmarkEnd w:id="195"/>
      <w:bookmarkEnd w:id="196"/>
      <w:bookmarkEnd w:id="197"/>
    </w:p>
    <w:p w14:paraId="2D01B003">
      <w:pPr>
        <w:pStyle w:val="3"/>
        <w:pageBreakBefore w:val="0"/>
        <w:widowControl/>
        <w:kinsoku/>
        <w:wordWrap w:val="0"/>
        <w:overflowPunct/>
        <w:topLinePunct/>
        <w:autoSpaceDE/>
        <w:autoSpaceDN/>
        <w:bidi w:val="0"/>
        <w:rPr>
          <w:rFonts w:hint="eastAsia"/>
          <w:color w:val="auto"/>
        </w:rPr>
      </w:pPr>
      <w:bookmarkStart w:id="205" w:name="_Toc19456"/>
      <w:bookmarkStart w:id="206" w:name="_Toc29061"/>
      <w:bookmarkStart w:id="207" w:name="_Toc12539"/>
      <w:bookmarkStart w:id="208" w:name="_Toc12335"/>
      <w:bookmarkStart w:id="209" w:name="_Toc18248"/>
      <w:r>
        <w:rPr>
          <w:rFonts w:hint="eastAsia"/>
          <w:color w:val="auto"/>
          <w:lang w:val="en-US" w:eastAsia="zh-CN"/>
        </w:rPr>
        <w:t>5.1</w:t>
      </w:r>
      <w:r>
        <w:rPr>
          <w:rFonts w:hint="eastAsia"/>
          <w:color w:val="auto"/>
        </w:rPr>
        <w:t>建设管理方案</w:t>
      </w:r>
      <w:bookmarkEnd w:id="205"/>
      <w:bookmarkEnd w:id="206"/>
      <w:bookmarkEnd w:id="207"/>
      <w:bookmarkEnd w:id="208"/>
      <w:bookmarkEnd w:id="209"/>
    </w:p>
    <w:p w14:paraId="0E4BDF43">
      <w:pPr>
        <w:pStyle w:val="4"/>
        <w:pageBreakBefore w:val="0"/>
        <w:widowControl/>
        <w:kinsoku/>
        <w:wordWrap w:val="0"/>
        <w:overflowPunct/>
        <w:topLinePunct/>
        <w:autoSpaceDE/>
        <w:autoSpaceDN/>
        <w:bidi w:val="0"/>
        <w:rPr>
          <w:rFonts w:hint="default"/>
          <w:color w:val="auto"/>
          <w:lang w:val="en-US" w:eastAsia="zh-CN"/>
        </w:rPr>
      </w:pPr>
      <w:r>
        <w:rPr>
          <w:rFonts w:hint="eastAsia"/>
          <w:color w:val="auto"/>
          <w:lang w:val="en-US" w:eastAsia="zh-CN"/>
        </w:rPr>
        <w:t>5.1.1管理方案</w:t>
      </w:r>
    </w:p>
    <w:p w14:paraId="308126DA">
      <w:pPr>
        <w:pageBreakBefore w:val="0"/>
        <w:widowControl/>
        <w:kinsoku/>
        <w:wordWrap w:val="0"/>
        <w:overflowPunct/>
        <w:topLinePunct/>
        <w:autoSpaceDE/>
        <w:autoSpaceDN/>
        <w:bidi w:val="0"/>
        <w:rPr>
          <w:color w:val="auto"/>
        </w:rPr>
      </w:pPr>
      <w:r>
        <w:rPr>
          <w:color w:val="auto"/>
        </w:rPr>
        <w:t>（一）项目组织</w:t>
      </w:r>
    </w:p>
    <w:p w14:paraId="3F9C11EB">
      <w:pPr>
        <w:pageBreakBefore w:val="0"/>
        <w:widowControl/>
        <w:kinsoku/>
        <w:wordWrap w:val="0"/>
        <w:overflowPunct/>
        <w:topLinePunct/>
        <w:autoSpaceDE/>
        <w:autoSpaceDN/>
        <w:bidi w:val="0"/>
        <w:rPr>
          <w:rFonts w:hint="eastAsia"/>
          <w:color w:val="auto"/>
          <w:lang w:eastAsia="zh-CN"/>
        </w:rPr>
      </w:pPr>
      <w:r>
        <w:rPr>
          <w:rFonts w:hint="eastAsia"/>
          <w:color w:val="auto"/>
          <w:lang w:eastAsia="zh-CN"/>
        </w:rPr>
        <w:t>为实现最大限度地管理好本项目，实现项目的建设目标与意义，在管理机制上，扬州华璟养老产业有限公司作为本项目的建设主体，前期阶段，成立领导小组，下设筹建工作小组开展工作。项目建设阶段，由筹建小组专门负责本项目的建设管理工作，同时接受相关部门的支持与监督。</w:t>
      </w:r>
    </w:p>
    <w:p w14:paraId="58A8CCA4">
      <w:pPr>
        <w:pageBreakBefore w:val="0"/>
        <w:widowControl/>
        <w:kinsoku/>
        <w:wordWrap w:val="0"/>
        <w:overflowPunct/>
        <w:topLinePunct/>
        <w:autoSpaceDE/>
        <w:autoSpaceDN/>
        <w:bidi w:val="0"/>
        <w:rPr>
          <w:rFonts w:hint="eastAsia"/>
          <w:color w:val="auto"/>
          <w:lang w:eastAsia="zh-CN"/>
        </w:rPr>
      </w:pPr>
      <w:r>
        <w:rPr>
          <w:rFonts w:hint="eastAsia"/>
          <w:color w:val="auto"/>
          <w:lang w:eastAsia="zh-CN"/>
        </w:rPr>
        <w:t>在项目实施过程中，将派专人分别负责工程的设计、材料设备采购、预算投资控制、施工现场的进度控制工作，形成一个项目管理团队，对整个筹建过程中的工作进行督促、组织、协调，以及编制用款计划，执行资金收支操作。并在项目建设过程中执行以下几点：</w:t>
      </w:r>
    </w:p>
    <w:p w14:paraId="6FBA08FE">
      <w:pPr>
        <w:pageBreakBefore w:val="0"/>
        <w:widowControl/>
        <w:kinsoku/>
        <w:wordWrap w:val="0"/>
        <w:overflowPunct/>
        <w:topLinePunct/>
        <w:autoSpaceDE/>
        <w:autoSpaceDN/>
        <w:bidi w:val="0"/>
        <w:rPr>
          <w:rFonts w:hint="eastAsia"/>
          <w:color w:val="auto"/>
          <w:lang w:eastAsia="zh-CN"/>
        </w:rPr>
      </w:pPr>
      <w:r>
        <w:rPr>
          <w:rFonts w:hint="eastAsia"/>
          <w:color w:val="auto"/>
          <w:lang w:eastAsia="zh-CN"/>
        </w:rPr>
        <w:t>1、在建设过程中，将建立和落实项目法人责任制、参建单位工程质量领导人责任制和工程质量终身负责制，实施招投标制度、监理制度、工程合同管理制度等。</w:t>
      </w:r>
    </w:p>
    <w:p w14:paraId="066E9A7C">
      <w:pPr>
        <w:pageBreakBefore w:val="0"/>
        <w:widowControl/>
        <w:kinsoku/>
        <w:wordWrap w:val="0"/>
        <w:overflowPunct/>
        <w:topLinePunct/>
        <w:autoSpaceDE/>
        <w:autoSpaceDN/>
        <w:bidi w:val="0"/>
        <w:rPr>
          <w:rFonts w:hint="eastAsia"/>
          <w:color w:val="auto"/>
          <w:lang w:eastAsia="zh-CN"/>
        </w:rPr>
      </w:pPr>
      <w:r>
        <w:rPr>
          <w:rFonts w:hint="eastAsia"/>
          <w:color w:val="auto"/>
          <w:lang w:eastAsia="zh-CN"/>
        </w:rPr>
        <w:t>2、加强工程管理，通过招标择优选择施工单位、监理单位，认真做好工程进度、质量和投资控制，建设精品工程，保证投资效益。另外在项目建设过程中还将采用工程监理、造价跟踪控制等形式，全过程控制工程的建设。</w:t>
      </w:r>
    </w:p>
    <w:p w14:paraId="6AB20AA7">
      <w:pPr>
        <w:pageBreakBefore w:val="0"/>
        <w:widowControl/>
        <w:kinsoku/>
        <w:wordWrap w:val="0"/>
        <w:overflowPunct/>
        <w:topLinePunct/>
        <w:autoSpaceDE/>
        <w:autoSpaceDN/>
        <w:bidi w:val="0"/>
        <w:rPr>
          <w:rFonts w:hint="eastAsia"/>
          <w:color w:val="auto"/>
          <w:lang w:eastAsia="zh-CN"/>
        </w:rPr>
      </w:pPr>
      <w:r>
        <w:rPr>
          <w:rFonts w:hint="eastAsia"/>
          <w:color w:val="auto"/>
          <w:lang w:eastAsia="zh-CN"/>
        </w:rPr>
        <w:t>3、加强资金管理，保证工程建设资金及时到位。加强工程款支付管理，防止资金流失。加强工程质量、进度管理，防止资金浪费。</w:t>
      </w:r>
    </w:p>
    <w:p w14:paraId="19A49B04">
      <w:pPr>
        <w:pageBreakBefore w:val="0"/>
        <w:widowControl/>
        <w:kinsoku/>
        <w:wordWrap w:val="0"/>
        <w:overflowPunct/>
        <w:topLinePunct/>
        <w:autoSpaceDE/>
        <w:autoSpaceDN/>
        <w:bidi w:val="0"/>
        <w:rPr>
          <w:color w:val="auto"/>
        </w:rPr>
      </w:pPr>
      <w:r>
        <w:rPr>
          <w:color w:val="auto"/>
        </w:rPr>
        <w:t>（二）项目建设管理</w:t>
      </w:r>
    </w:p>
    <w:p w14:paraId="3E2F46D7">
      <w:pPr>
        <w:pageBreakBefore w:val="0"/>
        <w:widowControl/>
        <w:kinsoku/>
        <w:wordWrap w:val="0"/>
        <w:overflowPunct/>
        <w:topLinePunct/>
        <w:autoSpaceDE/>
        <w:autoSpaceDN/>
        <w:bidi w:val="0"/>
        <w:rPr>
          <w:color w:val="auto"/>
        </w:rPr>
      </w:pPr>
      <w:r>
        <w:rPr>
          <w:rFonts w:hint="eastAsia"/>
          <w:color w:val="auto"/>
        </w:rPr>
        <w:t>项目的核心目标是由合同界定的质量目标、工期目标、投资目标、安全目标。在严格执行招投标与监理制度的基础上，项目建设管理的内容相应包括质量控制、进度控制、投资控制、安全控制、合同管理及协调各方关系等。</w:t>
      </w:r>
    </w:p>
    <w:p w14:paraId="16FA9667">
      <w:pPr>
        <w:pStyle w:val="4"/>
        <w:pageBreakBefore w:val="0"/>
        <w:widowControl/>
        <w:kinsoku/>
        <w:wordWrap w:val="0"/>
        <w:overflowPunct/>
        <w:topLinePunct/>
        <w:autoSpaceDE/>
        <w:autoSpaceDN/>
        <w:bidi w:val="0"/>
        <w:rPr>
          <w:rFonts w:hint="eastAsia"/>
          <w:color w:val="auto"/>
          <w:lang w:val="en-US" w:eastAsia="zh-CN"/>
        </w:rPr>
      </w:pPr>
      <w:r>
        <w:rPr>
          <w:rFonts w:hint="eastAsia"/>
          <w:color w:val="auto"/>
          <w:lang w:val="en-US" w:eastAsia="zh-CN"/>
        </w:rPr>
        <w:t>5.1.2项目实施计划</w:t>
      </w:r>
    </w:p>
    <w:p w14:paraId="283B2B84">
      <w:pPr>
        <w:pageBreakBefore w:val="0"/>
        <w:widowControl/>
        <w:kinsoku/>
        <w:wordWrap w:val="0"/>
        <w:overflowPunct/>
        <w:topLinePunct/>
        <w:autoSpaceDE/>
        <w:autoSpaceDN/>
        <w:bidi w:val="0"/>
        <w:rPr>
          <w:color w:val="auto"/>
        </w:rPr>
      </w:pPr>
      <w:r>
        <w:rPr>
          <w:rFonts w:hint="eastAsia"/>
          <w:color w:val="auto"/>
        </w:rPr>
        <w:t>1</w:t>
      </w:r>
      <w:r>
        <w:rPr>
          <w:rFonts w:hint="eastAsia"/>
          <w:color w:val="auto"/>
          <w:lang w:eastAsia="zh-CN"/>
        </w:rPr>
        <w:t>、</w:t>
      </w:r>
      <w:r>
        <w:rPr>
          <w:rFonts w:hint="eastAsia"/>
          <w:color w:val="auto"/>
        </w:rPr>
        <w:t>进度安排原则</w:t>
      </w:r>
    </w:p>
    <w:p w14:paraId="15231CBC">
      <w:pPr>
        <w:pageBreakBefore w:val="0"/>
        <w:widowControl/>
        <w:kinsoku/>
        <w:wordWrap w:val="0"/>
        <w:overflowPunct/>
        <w:topLinePunct/>
        <w:autoSpaceDE/>
        <w:autoSpaceDN/>
        <w:bidi w:val="0"/>
        <w:rPr>
          <w:rFonts w:hint="eastAsia"/>
          <w:color w:val="auto"/>
        </w:rPr>
      </w:pPr>
      <w:r>
        <w:rPr>
          <w:rFonts w:hint="eastAsia"/>
          <w:color w:val="auto"/>
        </w:rPr>
        <w:t>为合理安排项目建设周期，加快建设进度，项目建设必须遵循以下原则：</w:t>
      </w:r>
    </w:p>
    <w:p w14:paraId="6D98F7D3">
      <w:pPr>
        <w:pageBreakBefore w:val="0"/>
        <w:widowControl/>
        <w:kinsoku/>
        <w:wordWrap w:val="0"/>
        <w:overflowPunct/>
        <w:topLinePunct/>
        <w:autoSpaceDE/>
        <w:autoSpaceDN/>
        <w:bidi w:val="0"/>
        <w:rPr>
          <w:rFonts w:hint="eastAsia"/>
          <w:color w:val="auto"/>
        </w:rPr>
      </w:pPr>
      <w:r>
        <w:rPr>
          <w:rFonts w:hint="eastAsia"/>
          <w:color w:val="auto"/>
          <w:lang w:eastAsia="zh-CN"/>
        </w:rPr>
        <w:t>（</w:t>
      </w:r>
      <w:r>
        <w:rPr>
          <w:rFonts w:hint="eastAsia"/>
          <w:color w:val="auto"/>
          <w:lang w:val="en-US" w:eastAsia="zh-CN"/>
        </w:rPr>
        <w:t>1</w:t>
      </w:r>
      <w:r>
        <w:rPr>
          <w:rFonts w:hint="eastAsia"/>
          <w:color w:val="auto"/>
          <w:lang w:eastAsia="zh-CN"/>
        </w:rPr>
        <w:t>）</w:t>
      </w:r>
      <w:r>
        <w:rPr>
          <w:rFonts w:hint="eastAsia"/>
          <w:color w:val="auto"/>
        </w:rPr>
        <w:t>制定详细的总体进度计划和专业工程计划，分项实施。</w:t>
      </w:r>
    </w:p>
    <w:p w14:paraId="255AF872">
      <w:pPr>
        <w:pageBreakBefore w:val="0"/>
        <w:widowControl/>
        <w:kinsoku/>
        <w:wordWrap w:val="0"/>
        <w:overflowPunct/>
        <w:topLinePunct/>
        <w:autoSpaceDE/>
        <w:autoSpaceDN/>
        <w:bidi w:val="0"/>
        <w:rPr>
          <w:color w:val="auto"/>
        </w:rPr>
      </w:pPr>
      <w:r>
        <w:rPr>
          <w:rFonts w:hint="eastAsia"/>
          <w:color w:val="auto"/>
          <w:lang w:eastAsia="zh-CN"/>
        </w:rPr>
        <w:t>（</w:t>
      </w:r>
      <w:r>
        <w:rPr>
          <w:rFonts w:hint="eastAsia"/>
          <w:color w:val="auto"/>
          <w:lang w:val="en-US" w:eastAsia="zh-CN"/>
        </w:rPr>
        <w:t>2</w:t>
      </w:r>
      <w:r>
        <w:rPr>
          <w:rFonts w:hint="eastAsia"/>
          <w:color w:val="auto"/>
          <w:lang w:eastAsia="zh-CN"/>
        </w:rPr>
        <w:t>）</w:t>
      </w:r>
      <w:r>
        <w:rPr>
          <w:rFonts w:hint="eastAsia"/>
          <w:color w:val="auto"/>
        </w:rPr>
        <w:t>项目涉及</w:t>
      </w:r>
      <w:r>
        <w:rPr>
          <w:rFonts w:hint="eastAsia"/>
          <w:color w:val="auto"/>
          <w:lang w:val="en-US" w:eastAsia="zh-CN"/>
        </w:rPr>
        <w:t>的建设内容</w:t>
      </w:r>
      <w:r>
        <w:rPr>
          <w:rFonts w:hint="eastAsia"/>
          <w:color w:val="auto"/>
        </w:rPr>
        <w:t>需与住建、规划、市政、水利、园林、电信、电力等部门共同组织实施，因此项目在建设的同时，必须做好与相关部门的施工协调工作，确保施工进度不受影响。</w:t>
      </w:r>
    </w:p>
    <w:p w14:paraId="077583F8">
      <w:pPr>
        <w:pageBreakBefore w:val="0"/>
        <w:widowControl/>
        <w:kinsoku/>
        <w:wordWrap w:val="0"/>
        <w:overflowPunct/>
        <w:topLinePunct/>
        <w:autoSpaceDE/>
        <w:autoSpaceDN/>
        <w:bidi w:val="0"/>
        <w:rPr>
          <w:color w:val="auto"/>
        </w:rPr>
      </w:pPr>
      <w:r>
        <w:rPr>
          <w:rFonts w:hint="eastAsia"/>
          <w:color w:val="auto"/>
          <w:lang w:eastAsia="zh-CN"/>
        </w:rPr>
        <w:t>（</w:t>
      </w:r>
      <w:r>
        <w:rPr>
          <w:rFonts w:hint="eastAsia"/>
          <w:color w:val="auto"/>
          <w:lang w:val="en-US" w:eastAsia="zh-CN"/>
        </w:rPr>
        <w:t>3</w:t>
      </w:r>
      <w:r>
        <w:rPr>
          <w:rFonts w:hint="eastAsia"/>
          <w:color w:val="auto"/>
          <w:lang w:eastAsia="zh-CN"/>
        </w:rPr>
        <w:t>）</w:t>
      </w:r>
      <w:r>
        <w:rPr>
          <w:rFonts w:hint="eastAsia"/>
          <w:color w:val="auto"/>
        </w:rPr>
        <w:t>项目施工点多，具有不同专业施工同时进行的特点，必须切实合理规划，制订详细的施工方案，避免相互干扰等不安全因素的存在，力求工期合理，质量保证。</w:t>
      </w:r>
    </w:p>
    <w:p w14:paraId="1424E7A9">
      <w:pPr>
        <w:pageBreakBefore w:val="0"/>
        <w:widowControl/>
        <w:kinsoku/>
        <w:wordWrap w:val="0"/>
        <w:overflowPunct/>
        <w:topLinePunct/>
        <w:autoSpaceDE/>
        <w:autoSpaceDN/>
        <w:bidi w:val="0"/>
        <w:rPr>
          <w:color w:val="auto"/>
        </w:rPr>
      </w:pPr>
      <w:r>
        <w:rPr>
          <w:rFonts w:hint="eastAsia"/>
          <w:color w:val="auto"/>
          <w:lang w:eastAsia="zh-CN"/>
        </w:rPr>
        <w:t>（</w:t>
      </w:r>
      <w:r>
        <w:rPr>
          <w:rFonts w:hint="eastAsia"/>
          <w:color w:val="auto"/>
          <w:lang w:val="en-US" w:eastAsia="zh-CN"/>
        </w:rPr>
        <w:t>4</w:t>
      </w:r>
      <w:r>
        <w:rPr>
          <w:rFonts w:hint="eastAsia"/>
          <w:color w:val="auto"/>
          <w:lang w:eastAsia="zh-CN"/>
        </w:rPr>
        <w:t>）</w:t>
      </w:r>
      <w:r>
        <w:rPr>
          <w:rFonts w:hint="eastAsia"/>
          <w:color w:val="auto"/>
        </w:rPr>
        <w:t>充分考虑项目开发的特点，结合施工能力、资金到位等诸多因素，保证各功能土地的市场需求，同时实施滚动开发的战略，争取降低项目的投资成本。</w:t>
      </w:r>
    </w:p>
    <w:p w14:paraId="7A20778F">
      <w:pPr>
        <w:pageBreakBefore w:val="0"/>
        <w:widowControl/>
        <w:kinsoku/>
        <w:wordWrap w:val="0"/>
        <w:overflowPunct/>
        <w:topLinePunct/>
        <w:autoSpaceDE/>
        <w:autoSpaceDN/>
        <w:bidi w:val="0"/>
        <w:rPr>
          <w:color w:val="auto"/>
        </w:rPr>
      </w:pPr>
      <w:r>
        <w:rPr>
          <w:rFonts w:hint="eastAsia"/>
          <w:color w:val="auto"/>
          <w:lang w:eastAsia="zh-CN"/>
        </w:rPr>
        <w:t>（</w:t>
      </w:r>
      <w:r>
        <w:rPr>
          <w:rFonts w:hint="eastAsia"/>
          <w:color w:val="auto"/>
          <w:lang w:val="en-US" w:eastAsia="zh-CN"/>
        </w:rPr>
        <w:t>5</w:t>
      </w:r>
      <w:r>
        <w:rPr>
          <w:rFonts w:hint="eastAsia"/>
          <w:color w:val="auto"/>
          <w:lang w:eastAsia="zh-CN"/>
        </w:rPr>
        <w:t>）</w:t>
      </w:r>
      <w:r>
        <w:rPr>
          <w:rFonts w:hint="eastAsia"/>
          <w:color w:val="auto"/>
        </w:rPr>
        <w:t>项目实施过程中认真做好项目进度报告，通过项目进度报告的进度信息，对项目进展情况有所了解，针对报告所指出的问题及时采取切实可行的解决办法，并对可能发生的问题尽早采取预防措施。</w:t>
      </w:r>
    </w:p>
    <w:p w14:paraId="566FEBCC">
      <w:pPr>
        <w:pageBreakBefore w:val="0"/>
        <w:widowControl/>
        <w:kinsoku/>
        <w:wordWrap w:val="0"/>
        <w:overflowPunct/>
        <w:topLinePunct/>
        <w:autoSpaceDE/>
        <w:autoSpaceDN/>
        <w:bidi w:val="0"/>
        <w:rPr>
          <w:rFonts w:hint="eastAsia"/>
          <w:color w:val="auto"/>
        </w:rPr>
      </w:pPr>
      <w:r>
        <w:rPr>
          <w:rFonts w:hint="eastAsia"/>
          <w:color w:val="auto"/>
          <w:lang w:eastAsia="zh-CN"/>
        </w:rPr>
        <w:t>（</w:t>
      </w:r>
      <w:r>
        <w:rPr>
          <w:rFonts w:hint="eastAsia"/>
          <w:color w:val="auto"/>
          <w:lang w:val="en-US" w:eastAsia="zh-CN"/>
        </w:rPr>
        <w:t>6</w:t>
      </w:r>
      <w:r>
        <w:rPr>
          <w:rFonts w:hint="eastAsia"/>
          <w:color w:val="auto"/>
          <w:lang w:eastAsia="zh-CN"/>
        </w:rPr>
        <w:t>）</w:t>
      </w:r>
      <w:r>
        <w:rPr>
          <w:rFonts w:hint="eastAsia"/>
          <w:color w:val="auto"/>
        </w:rPr>
        <w:t>项目实施的前期各项准备工作要到位。</w:t>
      </w:r>
    </w:p>
    <w:p w14:paraId="5B78B05F">
      <w:pPr>
        <w:pageBreakBefore w:val="0"/>
        <w:widowControl/>
        <w:kinsoku/>
        <w:wordWrap w:val="0"/>
        <w:overflowPunct/>
        <w:topLinePunct/>
        <w:autoSpaceDE/>
        <w:autoSpaceDN/>
        <w:bidi w:val="0"/>
        <w:rPr>
          <w:color w:val="auto"/>
        </w:rPr>
      </w:pPr>
      <w:r>
        <w:rPr>
          <w:color w:val="auto"/>
        </w:rPr>
        <w:t>2</w:t>
      </w:r>
      <w:r>
        <w:rPr>
          <w:rFonts w:hint="eastAsia"/>
          <w:color w:val="auto"/>
          <w:lang w:eastAsia="zh-CN"/>
        </w:rPr>
        <w:t>、</w:t>
      </w:r>
      <w:r>
        <w:rPr>
          <w:color w:val="auto"/>
        </w:rPr>
        <w:t>总体进度安排</w:t>
      </w:r>
    </w:p>
    <w:p w14:paraId="0365C3EE">
      <w:pPr>
        <w:pageBreakBefore w:val="0"/>
        <w:widowControl/>
        <w:kinsoku/>
        <w:wordWrap w:val="0"/>
        <w:overflowPunct/>
        <w:topLinePunct/>
        <w:autoSpaceDE/>
        <w:autoSpaceDN/>
        <w:bidi w:val="0"/>
        <w:rPr>
          <w:color w:val="auto"/>
        </w:rPr>
      </w:pPr>
      <w:r>
        <w:rPr>
          <w:color w:val="auto"/>
        </w:rPr>
        <w:t>项目总进度包括从项目前期准备、工程勘察与设计、项目实施到项目完成的过程，建设期为</w:t>
      </w:r>
      <w:r>
        <w:rPr>
          <w:rFonts w:hint="eastAsia"/>
          <w:color w:val="auto"/>
          <w:lang w:val="en-US" w:eastAsia="zh-CN"/>
        </w:rPr>
        <w:t>2</w:t>
      </w:r>
      <w:r>
        <w:rPr>
          <w:rFonts w:hint="eastAsia"/>
          <w:color w:val="auto"/>
          <w:lang w:eastAsia="zh-CN"/>
        </w:rPr>
        <w:t>年</w:t>
      </w:r>
      <w:r>
        <w:rPr>
          <w:color w:val="auto"/>
        </w:rPr>
        <w:t>。</w:t>
      </w:r>
    </w:p>
    <w:p w14:paraId="31B2A61F">
      <w:pPr>
        <w:keepNext w:val="0"/>
        <w:keepLines w:val="0"/>
        <w:pageBreakBefore w:val="0"/>
        <w:widowControl/>
        <w:kinsoku/>
        <w:wordWrap w:val="0"/>
        <w:overflowPunct/>
        <w:topLinePunct/>
        <w:autoSpaceDE/>
        <w:autoSpaceDN/>
        <w:bidi w:val="0"/>
        <w:adjustRightInd w:val="0"/>
        <w:snapToGrid w:val="0"/>
        <w:spacing w:before="20" w:line="560" w:lineRule="exact"/>
        <w:ind w:firstLine="580" w:firstLineChars="200"/>
        <w:textAlignment w:val="baseline"/>
        <w:rPr>
          <w:rFonts w:hint="eastAsia" w:ascii="宋体" w:hAnsi="宋体" w:eastAsia="宋体" w:cs="宋体"/>
          <w:color w:val="auto"/>
          <w:spacing w:val="0"/>
          <w:sz w:val="29"/>
          <w:szCs w:val="29"/>
        </w:rPr>
        <w:sectPr>
          <w:pgSz w:w="11906" w:h="16839"/>
          <w:pgMar w:top="1440" w:right="1800" w:bottom="1440" w:left="1800" w:header="907" w:footer="1020" w:gutter="0"/>
          <w:pgNumType w:fmt="decimal"/>
          <w:cols w:space="720" w:num="1"/>
        </w:sectPr>
      </w:pPr>
    </w:p>
    <w:bookmarkEnd w:id="198"/>
    <w:bookmarkEnd w:id="199"/>
    <w:bookmarkEnd w:id="200"/>
    <w:bookmarkEnd w:id="201"/>
    <w:bookmarkEnd w:id="202"/>
    <w:bookmarkEnd w:id="203"/>
    <w:bookmarkEnd w:id="204"/>
    <w:p w14:paraId="22807705">
      <w:pPr>
        <w:pStyle w:val="2"/>
        <w:pageBreakBefore w:val="0"/>
        <w:widowControl/>
        <w:kinsoku/>
        <w:wordWrap w:val="0"/>
        <w:overflowPunct/>
        <w:topLinePunct/>
        <w:autoSpaceDE/>
        <w:autoSpaceDN/>
        <w:bidi w:val="0"/>
        <w:rPr>
          <w:rFonts w:hint="eastAsia"/>
          <w:color w:val="auto"/>
        </w:rPr>
      </w:pPr>
      <w:bookmarkStart w:id="210" w:name="_Toc20666"/>
      <w:bookmarkStart w:id="211" w:name="_Toc24025"/>
      <w:bookmarkStart w:id="212" w:name="_Toc30832"/>
      <w:bookmarkStart w:id="213" w:name="_Toc29477"/>
      <w:bookmarkStart w:id="214" w:name="_Toc1888"/>
      <w:bookmarkStart w:id="215" w:name="_Toc3106"/>
      <w:bookmarkStart w:id="216" w:name="_Toc1639"/>
      <w:bookmarkStart w:id="217" w:name="_Toc8186"/>
      <w:bookmarkStart w:id="218" w:name="_Toc30374"/>
      <w:bookmarkStart w:id="219" w:name="_Toc30064"/>
      <w:bookmarkStart w:id="220" w:name="_Toc20226"/>
      <w:bookmarkStart w:id="221" w:name="_Toc21835"/>
      <w:r>
        <w:rPr>
          <w:rFonts w:hint="eastAsia"/>
          <w:color w:val="auto"/>
          <w:lang w:val="en-US" w:eastAsia="zh-CN"/>
        </w:rPr>
        <w:t xml:space="preserve">第六章  </w:t>
      </w:r>
      <w:r>
        <w:rPr>
          <w:rFonts w:hint="eastAsia"/>
          <w:color w:val="auto"/>
        </w:rPr>
        <w:t>项目运营方案</w:t>
      </w:r>
      <w:bookmarkEnd w:id="210"/>
      <w:bookmarkEnd w:id="211"/>
      <w:bookmarkEnd w:id="212"/>
      <w:bookmarkEnd w:id="213"/>
      <w:bookmarkEnd w:id="214"/>
      <w:bookmarkEnd w:id="215"/>
      <w:bookmarkEnd w:id="216"/>
      <w:bookmarkEnd w:id="217"/>
      <w:bookmarkEnd w:id="218"/>
      <w:bookmarkEnd w:id="219"/>
      <w:bookmarkEnd w:id="220"/>
      <w:bookmarkEnd w:id="221"/>
    </w:p>
    <w:p w14:paraId="01AE75E4">
      <w:pPr>
        <w:pStyle w:val="3"/>
        <w:pageBreakBefore w:val="0"/>
        <w:widowControl/>
        <w:kinsoku/>
        <w:wordWrap w:val="0"/>
        <w:overflowPunct/>
        <w:topLinePunct/>
        <w:autoSpaceDE/>
        <w:autoSpaceDN/>
        <w:bidi w:val="0"/>
        <w:rPr>
          <w:rFonts w:hint="eastAsia"/>
          <w:color w:val="auto"/>
        </w:rPr>
      </w:pPr>
      <w:bookmarkStart w:id="222" w:name="_Toc29252"/>
      <w:bookmarkStart w:id="223" w:name="_Toc7518"/>
      <w:bookmarkStart w:id="224" w:name="_Toc14358"/>
      <w:bookmarkStart w:id="225" w:name="_Toc17052"/>
      <w:bookmarkStart w:id="226" w:name="_Toc16298"/>
      <w:bookmarkStart w:id="227" w:name="_Toc29918"/>
      <w:bookmarkStart w:id="228" w:name="_Toc11946"/>
      <w:bookmarkStart w:id="229" w:name="_Toc31999"/>
      <w:bookmarkStart w:id="230" w:name="_Toc9892"/>
      <w:bookmarkStart w:id="231" w:name="_Toc10124"/>
      <w:bookmarkStart w:id="232" w:name="_Toc12713"/>
      <w:bookmarkStart w:id="233" w:name="_Toc3553"/>
      <w:r>
        <w:rPr>
          <w:rFonts w:hint="eastAsia"/>
          <w:color w:val="auto"/>
          <w:lang w:val="en-US" w:eastAsia="zh-CN"/>
        </w:rPr>
        <w:t>6.1</w:t>
      </w:r>
      <w:r>
        <w:rPr>
          <w:rFonts w:hint="eastAsia"/>
          <w:color w:val="auto"/>
        </w:rPr>
        <w:t>运营模式选择</w:t>
      </w:r>
      <w:bookmarkEnd w:id="222"/>
      <w:bookmarkEnd w:id="223"/>
      <w:bookmarkEnd w:id="224"/>
      <w:bookmarkEnd w:id="225"/>
      <w:bookmarkEnd w:id="226"/>
      <w:bookmarkEnd w:id="227"/>
      <w:bookmarkEnd w:id="228"/>
      <w:bookmarkEnd w:id="229"/>
      <w:bookmarkEnd w:id="230"/>
      <w:bookmarkEnd w:id="231"/>
      <w:bookmarkEnd w:id="232"/>
      <w:bookmarkEnd w:id="233"/>
    </w:p>
    <w:p w14:paraId="6B88FABD">
      <w:pPr>
        <w:pageBreakBefore w:val="0"/>
        <w:widowControl/>
        <w:kinsoku/>
        <w:wordWrap w:val="0"/>
        <w:overflowPunct/>
        <w:topLinePunct/>
        <w:autoSpaceDE/>
        <w:autoSpaceDN/>
        <w:bidi w:val="0"/>
        <w:rPr>
          <w:rFonts w:hint="default"/>
          <w:color w:val="auto"/>
          <w:lang w:val="en-US" w:eastAsia="zh-CN"/>
        </w:rPr>
      </w:pPr>
      <w:r>
        <w:rPr>
          <w:rFonts w:hint="eastAsia"/>
          <w:color w:val="auto"/>
          <w:lang w:val="en-US" w:eastAsia="zh-CN"/>
        </w:rPr>
        <w:t>扬州华璟养老产业有限公司GZ768地块康养项目为扬州华璟养老产业有限公司出资建设并持有物业，全权委托给第三方公司经营管理。</w:t>
      </w:r>
    </w:p>
    <w:p w14:paraId="1D4408F1">
      <w:pPr>
        <w:pStyle w:val="3"/>
        <w:pageBreakBefore w:val="0"/>
        <w:widowControl/>
        <w:kinsoku/>
        <w:wordWrap w:val="0"/>
        <w:overflowPunct/>
        <w:topLinePunct/>
        <w:autoSpaceDE/>
        <w:autoSpaceDN/>
        <w:bidi w:val="0"/>
        <w:rPr>
          <w:rFonts w:hint="eastAsia"/>
          <w:color w:val="auto"/>
        </w:rPr>
      </w:pPr>
      <w:bookmarkStart w:id="234" w:name="_Toc577"/>
      <w:bookmarkStart w:id="235" w:name="_Toc24667"/>
      <w:bookmarkStart w:id="236" w:name="_Toc31139"/>
      <w:bookmarkStart w:id="237" w:name="_Toc5866"/>
      <w:bookmarkStart w:id="238" w:name="_Toc5669"/>
      <w:bookmarkStart w:id="239" w:name="_Toc15019"/>
      <w:bookmarkStart w:id="240" w:name="_Toc7885"/>
      <w:bookmarkStart w:id="241" w:name="_Toc10146"/>
      <w:bookmarkStart w:id="242" w:name="_Toc14881"/>
      <w:bookmarkStart w:id="243" w:name="_Toc20655"/>
      <w:bookmarkStart w:id="244" w:name="_Toc31146"/>
      <w:bookmarkStart w:id="245" w:name="_Toc26099"/>
      <w:r>
        <w:rPr>
          <w:rFonts w:hint="eastAsia"/>
          <w:color w:val="auto"/>
          <w:lang w:val="en-US" w:eastAsia="zh-CN"/>
        </w:rPr>
        <w:t>6.2</w:t>
      </w:r>
      <w:r>
        <w:rPr>
          <w:rFonts w:hint="eastAsia"/>
          <w:color w:val="auto"/>
        </w:rPr>
        <w:t>运营组织方案</w:t>
      </w:r>
      <w:bookmarkEnd w:id="234"/>
      <w:bookmarkEnd w:id="235"/>
      <w:bookmarkEnd w:id="236"/>
      <w:bookmarkEnd w:id="237"/>
      <w:bookmarkEnd w:id="238"/>
      <w:bookmarkEnd w:id="239"/>
      <w:bookmarkEnd w:id="240"/>
      <w:bookmarkEnd w:id="241"/>
      <w:bookmarkEnd w:id="242"/>
      <w:bookmarkEnd w:id="243"/>
      <w:bookmarkEnd w:id="244"/>
      <w:bookmarkEnd w:id="245"/>
    </w:p>
    <w:p w14:paraId="75B2CEB5">
      <w:pPr>
        <w:pageBreakBefore w:val="0"/>
        <w:widowControl/>
        <w:kinsoku/>
        <w:wordWrap w:val="0"/>
        <w:overflowPunct/>
        <w:topLinePunct/>
        <w:autoSpaceDE/>
        <w:autoSpaceDN/>
        <w:bidi w:val="0"/>
        <w:rPr>
          <w:rFonts w:hint="eastAsia"/>
          <w:color w:val="auto"/>
          <w:lang w:val="en-US" w:eastAsia="zh-CN"/>
        </w:rPr>
      </w:pPr>
      <w:r>
        <w:rPr>
          <w:rFonts w:hint="eastAsia"/>
          <w:color w:val="auto"/>
          <w:lang w:val="en-US" w:eastAsia="zh-CN"/>
        </w:rPr>
        <w:t>1、组织机构</w:t>
      </w:r>
    </w:p>
    <w:p w14:paraId="3FF60A06">
      <w:pPr>
        <w:pageBreakBefore w:val="0"/>
        <w:widowControl/>
        <w:kinsoku/>
        <w:wordWrap w:val="0"/>
        <w:overflowPunct/>
        <w:topLinePunct/>
        <w:autoSpaceDE/>
        <w:autoSpaceDN/>
        <w:bidi w:val="0"/>
        <w:rPr>
          <w:rFonts w:hint="eastAsia"/>
          <w:color w:val="auto"/>
          <w:lang w:val="en-US" w:eastAsia="zh-CN"/>
        </w:rPr>
      </w:pPr>
      <w:r>
        <w:rPr>
          <w:rFonts w:hint="eastAsia"/>
          <w:color w:val="auto"/>
          <w:lang w:val="en-US" w:eastAsia="zh-CN"/>
        </w:rPr>
        <w:t>该项目由建设单位指定项目经理，为了有利于项目管理，有利于控制目标，有利于信息沟通，下设合同管理部、计划财务部、技术工程部及综合协调部。各部门之间必须明确分工，认真履行各自职责，并相互密切配合，加强工程管理，确保工程质量，使工程按期完成。</w:t>
      </w:r>
    </w:p>
    <w:p w14:paraId="1FFDE1B0">
      <w:pPr>
        <w:pageBreakBefore w:val="0"/>
        <w:widowControl/>
        <w:kinsoku/>
        <w:wordWrap w:val="0"/>
        <w:overflowPunct/>
        <w:topLinePunct/>
        <w:autoSpaceDE/>
        <w:autoSpaceDN/>
        <w:bidi w:val="0"/>
        <w:rPr>
          <w:rFonts w:hint="eastAsia"/>
          <w:color w:val="auto"/>
          <w:lang w:val="en-US" w:eastAsia="zh-CN"/>
        </w:rPr>
      </w:pPr>
      <w:r>
        <w:rPr>
          <w:rFonts w:hint="eastAsia"/>
          <w:color w:val="auto"/>
          <w:lang w:val="en-US" w:eastAsia="zh-CN"/>
        </w:rPr>
        <w:t>2、合同管理部</w:t>
      </w:r>
    </w:p>
    <w:p w14:paraId="26256F0B">
      <w:pPr>
        <w:pageBreakBefore w:val="0"/>
        <w:widowControl/>
        <w:kinsoku/>
        <w:wordWrap w:val="0"/>
        <w:overflowPunct/>
        <w:topLinePunct/>
        <w:autoSpaceDE/>
        <w:autoSpaceDN/>
        <w:bidi w:val="0"/>
        <w:rPr>
          <w:rFonts w:hint="eastAsia"/>
          <w:color w:val="auto"/>
          <w:lang w:val="en-US" w:eastAsia="zh-CN"/>
        </w:rPr>
      </w:pPr>
      <w:r>
        <w:rPr>
          <w:rFonts w:hint="eastAsia"/>
          <w:color w:val="auto"/>
          <w:lang w:val="en-US" w:eastAsia="zh-CN"/>
        </w:rPr>
        <w:t>在建设期负责合同管理。应依法订立工程设计、施工、监理和材料采购等各类合同，组织合同签约，检查合同执行情况，解决合同执行中出现的问题，最终组织合同结算。</w:t>
      </w:r>
    </w:p>
    <w:p w14:paraId="167E6615">
      <w:pPr>
        <w:pageBreakBefore w:val="0"/>
        <w:widowControl/>
        <w:kinsoku/>
        <w:wordWrap w:val="0"/>
        <w:overflowPunct/>
        <w:topLinePunct/>
        <w:autoSpaceDE/>
        <w:autoSpaceDN/>
        <w:bidi w:val="0"/>
        <w:rPr>
          <w:rFonts w:hint="eastAsia"/>
          <w:color w:val="auto"/>
          <w:lang w:val="en-US" w:eastAsia="zh-CN"/>
        </w:rPr>
      </w:pPr>
      <w:r>
        <w:rPr>
          <w:rFonts w:hint="eastAsia"/>
          <w:color w:val="auto"/>
          <w:lang w:val="en-US" w:eastAsia="zh-CN"/>
        </w:rPr>
        <w:t>3、计划财务部</w:t>
      </w:r>
    </w:p>
    <w:p w14:paraId="218B58CD">
      <w:pPr>
        <w:pageBreakBefore w:val="0"/>
        <w:widowControl/>
        <w:kinsoku/>
        <w:wordWrap w:val="0"/>
        <w:overflowPunct/>
        <w:topLinePunct/>
        <w:autoSpaceDE/>
        <w:autoSpaceDN/>
        <w:bidi w:val="0"/>
        <w:rPr>
          <w:rFonts w:hint="eastAsia"/>
          <w:color w:val="auto"/>
          <w:lang w:val="en-US" w:eastAsia="zh-CN"/>
        </w:rPr>
      </w:pPr>
      <w:r>
        <w:rPr>
          <w:rFonts w:hint="eastAsia"/>
          <w:color w:val="auto"/>
          <w:lang w:val="en-US" w:eastAsia="zh-CN"/>
        </w:rPr>
        <w:t>负责项目的投资计划安排及财务管理。根据经批准的总概算和工期，结合总体规划要求，合理安排投资计划；严格执行基本建设财务、管理的各项制度，保证资金筹措到位，控制建设成本，确保资金使用效益。</w:t>
      </w:r>
    </w:p>
    <w:p w14:paraId="65445187">
      <w:pPr>
        <w:pageBreakBefore w:val="0"/>
        <w:widowControl/>
        <w:kinsoku/>
        <w:wordWrap w:val="0"/>
        <w:overflowPunct/>
        <w:topLinePunct/>
        <w:autoSpaceDE/>
        <w:autoSpaceDN/>
        <w:bidi w:val="0"/>
        <w:rPr>
          <w:rFonts w:hint="eastAsia"/>
          <w:color w:val="auto"/>
          <w:lang w:val="en-US" w:eastAsia="zh-CN"/>
        </w:rPr>
      </w:pPr>
      <w:r>
        <w:rPr>
          <w:rFonts w:hint="eastAsia"/>
          <w:color w:val="auto"/>
          <w:lang w:val="en-US" w:eastAsia="zh-CN"/>
        </w:rPr>
        <w:t>4、工程技术部</w:t>
      </w:r>
    </w:p>
    <w:p w14:paraId="6D08B071">
      <w:pPr>
        <w:pageBreakBefore w:val="0"/>
        <w:widowControl/>
        <w:kinsoku/>
        <w:wordWrap w:val="0"/>
        <w:overflowPunct/>
        <w:topLinePunct/>
        <w:autoSpaceDE/>
        <w:autoSpaceDN/>
        <w:bidi w:val="0"/>
        <w:rPr>
          <w:rFonts w:hint="eastAsia"/>
          <w:color w:val="auto"/>
          <w:lang w:val="en-US" w:eastAsia="zh-CN"/>
        </w:rPr>
      </w:pPr>
      <w:r>
        <w:rPr>
          <w:rFonts w:hint="eastAsia"/>
          <w:color w:val="auto"/>
          <w:lang w:val="en-US" w:eastAsia="zh-CN"/>
        </w:rPr>
        <w:t>负责施工现场工程质量、投资、进度及施工安全的监控，处理施工中的各类技术问题，进行质量检查和安全措施检查，组织阶段验收和竣工验收，并负责技术档案汇总存档。</w:t>
      </w:r>
    </w:p>
    <w:p w14:paraId="51FADBF6">
      <w:pPr>
        <w:pageBreakBefore w:val="0"/>
        <w:widowControl/>
        <w:kinsoku/>
        <w:wordWrap w:val="0"/>
        <w:overflowPunct/>
        <w:topLinePunct/>
        <w:autoSpaceDE/>
        <w:autoSpaceDN/>
        <w:bidi w:val="0"/>
        <w:rPr>
          <w:rFonts w:hint="eastAsia"/>
          <w:color w:val="auto"/>
          <w:lang w:val="en-US" w:eastAsia="zh-CN"/>
        </w:rPr>
      </w:pPr>
      <w:r>
        <w:rPr>
          <w:rFonts w:hint="eastAsia"/>
          <w:color w:val="auto"/>
          <w:lang w:val="en-US" w:eastAsia="zh-CN"/>
        </w:rPr>
        <w:t>5、综合协调部</w:t>
      </w:r>
    </w:p>
    <w:p w14:paraId="14374387">
      <w:pPr>
        <w:pageBreakBefore w:val="0"/>
        <w:widowControl/>
        <w:kinsoku/>
        <w:wordWrap w:val="0"/>
        <w:overflowPunct/>
        <w:topLinePunct/>
        <w:autoSpaceDE/>
        <w:autoSpaceDN/>
        <w:bidi w:val="0"/>
        <w:rPr>
          <w:rFonts w:hint="eastAsia"/>
          <w:color w:val="auto"/>
          <w:lang w:val="en-US" w:eastAsia="zh-CN"/>
        </w:rPr>
      </w:pPr>
      <w:r>
        <w:rPr>
          <w:rFonts w:hint="eastAsia"/>
          <w:color w:val="auto"/>
          <w:lang w:val="en-US" w:eastAsia="zh-CN"/>
        </w:rPr>
        <w:t>负责协调建设单位与施工单位之间的关系，监督施工进度，负责现场环保及工地治安的协调，负责合同以外由建设单位提供的各项物资的采购供应。负责协调内设各部的关系和对外工作。</w:t>
      </w:r>
    </w:p>
    <w:p w14:paraId="1BB5E5FA">
      <w:pPr>
        <w:pageBreakBefore w:val="0"/>
        <w:widowControl/>
        <w:kinsoku/>
        <w:wordWrap w:val="0"/>
        <w:overflowPunct/>
        <w:topLinePunct/>
        <w:autoSpaceDE/>
        <w:autoSpaceDN/>
        <w:bidi w:val="0"/>
        <w:rPr>
          <w:rFonts w:hint="eastAsia"/>
          <w:color w:val="auto"/>
          <w:lang w:val="en-US" w:eastAsia="zh-CN"/>
        </w:rPr>
      </w:pPr>
      <w:r>
        <w:rPr>
          <w:rFonts w:hint="eastAsia"/>
          <w:color w:val="auto"/>
          <w:lang w:val="en-US" w:eastAsia="zh-CN"/>
        </w:rPr>
        <w:t>6、项目监理</w:t>
      </w:r>
    </w:p>
    <w:p w14:paraId="33B6DC40">
      <w:pPr>
        <w:pageBreakBefore w:val="0"/>
        <w:widowControl/>
        <w:kinsoku/>
        <w:wordWrap w:val="0"/>
        <w:overflowPunct/>
        <w:topLinePunct/>
        <w:autoSpaceDE/>
        <w:autoSpaceDN/>
        <w:bidi w:val="0"/>
        <w:rPr>
          <w:rFonts w:hint="eastAsia"/>
          <w:color w:val="auto"/>
          <w:lang w:eastAsia="zh-CN"/>
        </w:rPr>
      </w:pPr>
      <w:r>
        <w:rPr>
          <w:rFonts w:hint="eastAsia"/>
          <w:color w:val="auto"/>
          <w:lang w:val="en-US" w:eastAsia="zh-CN"/>
        </w:rPr>
        <w:t>建设单位应选择有资质、信誉高、业绩好的单位负责现场监理；监理单位应按照监理合同，严格履行监理职责，组织项目监理班子，并派驻监理人员旁站监理，现场监理人员应有相应的资质和较高的职业素质，对工程的进度、质量、投资、安全等进行严格控制，确保工程按既定目标实现顺利竣工</w:t>
      </w:r>
      <w:r>
        <w:rPr>
          <w:rFonts w:hint="eastAsia"/>
          <w:color w:val="auto"/>
          <w:lang w:eastAsia="zh-CN"/>
        </w:rPr>
        <w:t>。</w:t>
      </w:r>
    </w:p>
    <w:p w14:paraId="62F1CF56">
      <w:pPr>
        <w:pStyle w:val="3"/>
        <w:pageBreakBefore w:val="0"/>
        <w:widowControl/>
        <w:kinsoku/>
        <w:wordWrap w:val="0"/>
        <w:overflowPunct/>
        <w:topLinePunct/>
        <w:autoSpaceDE/>
        <w:autoSpaceDN/>
        <w:bidi w:val="0"/>
        <w:rPr>
          <w:rFonts w:hint="eastAsia"/>
          <w:color w:val="auto"/>
          <w:lang w:eastAsia="zh-CN"/>
        </w:rPr>
      </w:pPr>
      <w:bookmarkStart w:id="246" w:name="_Toc15445"/>
      <w:bookmarkStart w:id="247" w:name="_Toc9463"/>
      <w:bookmarkStart w:id="248" w:name="_Toc24068"/>
      <w:bookmarkStart w:id="249" w:name="_Toc2388"/>
      <w:bookmarkStart w:id="250" w:name="_Toc6119"/>
      <w:bookmarkStart w:id="251" w:name="_Toc11883"/>
      <w:bookmarkStart w:id="252" w:name="_Toc25040"/>
      <w:bookmarkStart w:id="253" w:name="_Toc8206"/>
      <w:bookmarkStart w:id="254" w:name="_Toc26085"/>
      <w:bookmarkStart w:id="255" w:name="_Toc31006"/>
      <w:bookmarkStart w:id="256" w:name="_Toc24362"/>
      <w:bookmarkStart w:id="257" w:name="_Toc6961"/>
      <w:r>
        <w:rPr>
          <w:rFonts w:hint="eastAsia"/>
          <w:color w:val="auto"/>
          <w:lang w:val="en-US" w:eastAsia="zh-CN"/>
        </w:rPr>
        <w:t>6.3</w:t>
      </w:r>
      <w:r>
        <w:rPr>
          <w:rFonts w:hint="eastAsia"/>
          <w:color w:val="auto"/>
        </w:rPr>
        <w:t>安全保障方案</w:t>
      </w:r>
      <w:bookmarkEnd w:id="246"/>
      <w:bookmarkEnd w:id="247"/>
      <w:bookmarkEnd w:id="248"/>
      <w:bookmarkEnd w:id="249"/>
      <w:bookmarkEnd w:id="250"/>
      <w:bookmarkEnd w:id="251"/>
      <w:bookmarkEnd w:id="252"/>
      <w:bookmarkEnd w:id="253"/>
      <w:bookmarkEnd w:id="254"/>
      <w:bookmarkEnd w:id="255"/>
      <w:bookmarkEnd w:id="256"/>
      <w:bookmarkEnd w:id="257"/>
    </w:p>
    <w:p w14:paraId="6F5E4670">
      <w:pPr>
        <w:pageBreakBefore w:val="0"/>
        <w:widowControl/>
        <w:kinsoku/>
        <w:wordWrap w:val="0"/>
        <w:overflowPunct/>
        <w:topLinePunct/>
        <w:autoSpaceDE/>
        <w:autoSpaceDN/>
        <w:bidi w:val="0"/>
        <w:rPr>
          <w:rFonts w:hint="eastAsia"/>
          <w:color w:val="auto"/>
          <w:lang w:val="en-US" w:eastAsia="zh-CN"/>
        </w:rPr>
      </w:pPr>
      <w:r>
        <w:rPr>
          <w:rFonts w:hint="eastAsia"/>
          <w:color w:val="auto"/>
          <w:lang w:val="en-US" w:eastAsia="zh-CN"/>
        </w:rPr>
        <w:t>一、物理安全措施</w:t>
      </w:r>
    </w:p>
    <w:p w14:paraId="1C19D8E6">
      <w:pPr>
        <w:pageBreakBefore w:val="0"/>
        <w:widowControl/>
        <w:kinsoku/>
        <w:wordWrap w:val="0"/>
        <w:overflowPunct/>
        <w:topLinePunct/>
        <w:autoSpaceDE/>
        <w:autoSpaceDN/>
        <w:bidi w:val="0"/>
        <w:rPr>
          <w:rFonts w:hint="eastAsia"/>
          <w:color w:val="auto"/>
          <w:lang w:val="en-US" w:eastAsia="zh-CN"/>
        </w:rPr>
      </w:pPr>
      <w:r>
        <w:rPr>
          <w:rFonts w:hint="eastAsia"/>
          <w:color w:val="auto"/>
          <w:lang w:val="en-US" w:eastAsia="zh-CN"/>
        </w:rPr>
        <w:t>1、监控设备：在未来产业社区的关键位置，如主要出入口、公共区域、停车场等，安装高清摄像头和红外传感器，建立24小时监控系统。通过监控系统可以实时观察小区内的情况，及时发现并处理异常事件。</w:t>
      </w:r>
    </w:p>
    <w:p w14:paraId="480DCBD5">
      <w:pPr>
        <w:pageBreakBefore w:val="0"/>
        <w:widowControl/>
        <w:kinsoku/>
        <w:wordWrap w:val="0"/>
        <w:overflowPunct/>
        <w:topLinePunct/>
        <w:autoSpaceDE/>
        <w:autoSpaceDN/>
        <w:bidi w:val="0"/>
        <w:rPr>
          <w:rFonts w:hint="eastAsia"/>
          <w:color w:val="auto"/>
          <w:lang w:val="en-US" w:eastAsia="zh-CN"/>
        </w:rPr>
      </w:pPr>
      <w:r>
        <w:rPr>
          <w:rFonts w:hint="eastAsia"/>
          <w:color w:val="auto"/>
          <w:lang w:val="en-US" w:eastAsia="zh-CN"/>
        </w:rPr>
        <w:t>2、安全设施：在未来产业社区内设置消防设备、紧急报警系统、应急疏散标识等安全设施，并对其进行定期检查和维护，确保在紧急情况下能够迅速响应。</w:t>
      </w:r>
    </w:p>
    <w:p w14:paraId="66C7F5BC">
      <w:pPr>
        <w:pageBreakBefore w:val="0"/>
        <w:widowControl/>
        <w:kinsoku/>
        <w:wordWrap w:val="0"/>
        <w:overflowPunct/>
        <w:topLinePunct/>
        <w:autoSpaceDE/>
        <w:autoSpaceDN/>
        <w:bidi w:val="0"/>
        <w:rPr>
          <w:rFonts w:hint="eastAsia"/>
          <w:color w:val="auto"/>
          <w:lang w:val="en-US" w:eastAsia="zh-CN"/>
        </w:rPr>
      </w:pPr>
      <w:r>
        <w:rPr>
          <w:rFonts w:hint="eastAsia"/>
          <w:color w:val="auto"/>
          <w:lang w:val="en-US" w:eastAsia="zh-CN"/>
        </w:rPr>
        <w:t>二、人员管理</w:t>
      </w:r>
    </w:p>
    <w:p w14:paraId="0F5017A8">
      <w:pPr>
        <w:pageBreakBefore w:val="0"/>
        <w:widowControl/>
        <w:kinsoku/>
        <w:wordWrap w:val="0"/>
        <w:overflowPunct/>
        <w:topLinePunct/>
        <w:autoSpaceDE/>
        <w:autoSpaceDN/>
        <w:bidi w:val="0"/>
        <w:rPr>
          <w:rFonts w:hint="eastAsia"/>
          <w:color w:val="auto"/>
          <w:lang w:val="en-US" w:eastAsia="zh-CN"/>
        </w:rPr>
      </w:pPr>
      <w:r>
        <w:rPr>
          <w:rFonts w:hint="eastAsia"/>
          <w:color w:val="auto"/>
          <w:lang w:val="en-US" w:eastAsia="zh-CN"/>
        </w:rPr>
        <w:t>1、安保队伍：组建专业的安保队伍，定期进行培训，提高他们的安全防范意识和应急处置能力。安保人员应熟悉未来产业社区的安全规章制度，能够熟练使用各类安全设备。</w:t>
      </w:r>
    </w:p>
    <w:p w14:paraId="1F21EF8D">
      <w:pPr>
        <w:pageBreakBefore w:val="0"/>
        <w:widowControl/>
        <w:kinsoku/>
        <w:wordWrap w:val="0"/>
        <w:overflowPunct/>
        <w:topLinePunct/>
        <w:autoSpaceDE/>
        <w:autoSpaceDN/>
        <w:bidi w:val="0"/>
        <w:rPr>
          <w:rFonts w:hint="eastAsia"/>
          <w:color w:val="auto"/>
          <w:lang w:val="en-US" w:eastAsia="zh-CN"/>
        </w:rPr>
      </w:pPr>
      <w:r>
        <w:rPr>
          <w:rFonts w:hint="eastAsia"/>
          <w:color w:val="auto"/>
          <w:lang w:val="en-US" w:eastAsia="zh-CN"/>
        </w:rPr>
        <w:t>2、员工培训：定期进行培训，提高他们的安全防范意识和应急处置能力，共同维护未来产业社区的安全。</w:t>
      </w:r>
    </w:p>
    <w:p w14:paraId="3AD78CAF">
      <w:pPr>
        <w:pageBreakBefore w:val="0"/>
        <w:widowControl/>
        <w:kinsoku/>
        <w:wordWrap w:val="0"/>
        <w:overflowPunct/>
        <w:topLinePunct/>
        <w:autoSpaceDE/>
        <w:autoSpaceDN/>
        <w:bidi w:val="0"/>
        <w:rPr>
          <w:rFonts w:hint="eastAsia"/>
          <w:color w:val="auto"/>
          <w:lang w:val="en-US" w:eastAsia="zh-CN"/>
        </w:rPr>
      </w:pPr>
      <w:r>
        <w:rPr>
          <w:rFonts w:hint="eastAsia"/>
          <w:color w:val="auto"/>
          <w:lang w:val="en-US" w:eastAsia="zh-CN"/>
        </w:rPr>
        <w:t>三、安全意识教育</w:t>
      </w:r>
    </w:p>
    <w:p w14:paraId="5DC34C32">
      <w:pPr>
        <w:pageBreakBefore w:val="0"/>
        <w:widowControl/>
        <w:kinsoku/>
        <w:wordWrap w:val="0"/>
        <w:overflowPunct/>
        <w:topLinePunct/>
        <w:autoSpaceDE/>
        <w:autoSpaceDN/>
        <w:bidi w:val="0"/>
        <w:rPr>
          <w:rFonts w:hint="eastAsia"/>
          <w:color w:val="auto"/>
          <w:lang w:val="en-US" w:eastAsia="zh-CN"/>
        </w:rPr>
      </w:pPr>
      <w:r>
        <w:rPr>
          <w:rFonts w:hint="eastAsia"/>
          <w:color w:val="auto"/>
          <w:lang w:val="en-US" w:eastAsia="zh-CN"/>
        </w:rPr>
        <w:t>1、宣传栏与活动：在未来产业社区内设置宣传栏，定期发布安全知识和警示信息。同时，组织安全知识讲座、应急演练等活动，提高员工的安全意识和自我保护能力。</w:t>
      </w:r>
    </w:p>
    <w:p w14:paraId="25A86A5D">
      <w:pPr>
        <w:pageBreakBefore w:val="0"/>
        <w:widowControl/>
        <w:kinsoku/>
        <w:wordWrap w:val="0"/>
        <w:overflowPunct/>
        <w:topLinePunct/>
        <w:autoSpaceDE/>
        <w:autoSpaceDN/>
        <w:bidi w:val="0"/>
        <w:rPr>
          <w:rFonts w:hint="eastAsia"/>
          <w:color w:val="auto"/>
          <w:lang w:val="en-US" w:eastAsia="zh-CN"/>
        </w:rPr>
      </w:pPr>
      <w:r>
        <w:rPr>
          <w:rFonts w:hint="eastAsia"/>
          <w:color w:val="auto"/>
          <w:lang w:val="en-US" w:eastAsia="zh-CN"/>
        </w:rPr>
        <w:t>2、员工互动：鼓励员工之间加强沟通和交流，分享安全经验，共同防范安全风险。</w:t>
      </w:r>
    </w:p>
    <w:p w14:paraId="5754BF5C">
      <w:pPr>
        <w:pageBreakBefore w:val="0"/>
        <w:widowControl/>
        <w:kinsoku/>
        <w:wordWrap w:val="0"/>
        <w:overflowPunct/>
        <w:topLinePunct/>
        <w:autoSpaceDE/>
        <w:autoSpaceDN/>
        <w:bidi w:val="0"/>
        <w:rPr>
          <w:rFonts w:hint="eastAsia"/>
          <w:color w:val="auto"/>
          <w:lang w:val="en-US" w:eastAsia="zh-CN"/>
        </w:rPr>
      </w:pPr>
      <w:r>
        <w:rPr>
          <w:rFonts w:hint="eastAsia"/>
          <w:color w:val="auto"/>
          <w:lang w:val="en-US" w:eastAsia="zh-CN"/>
        </w:rPr>
        <w:t>四、突发事件管理</w:t>
      </w:r>
    </w:p>
    <w:p w14:paraId="36C1FB1B">
      <w:pPr>
        <w:pageBreakBefore w:val="0"/>
        <w:widowControl/>
        <w:kinsoku/>
        <w:wordWrap w:val="0"/>
        <w:overflowPunct/>
        <w:topLinePunct/>
        <w:autoSpaceDE/>
        <w:autoSpaceDN/>
        <w:bidi w:val="0"/>
        <w:rPr>
          <w:rFonts w:hint="eastAsia"/>
          <w:color w:val="auto"/>
          <w:lang w:val="en-US" w:eastAsia="zh-CN"/>
        </w:rPr>
      </w:pPr>
      <w:r>
        <w:rPr>
          <w:rFonts w:hint="eastAsia"/>
          <w:color w:val="auto"/>
          <w:lang w:val="en-US" w:eastAsia="zh-CN"/>
        </w:rPr>
        <w:t>1、应急预案：制定详细的应急预案，包括火灾、盗窃、自然灾害等突发事件的应对措施。预案应明确各类事件的处置流程、责任人和联系方式等。</w:t>
      </w:r>
    </w:p>
    <w:p w14:paraId="650FE286">
      <w:pPr>
        <w:pageBreakBefore w:val="0"/>
        <w:widowControl/>
        <w:kinsoku/>
        <w:wordWrap w:val="0"/>
        <w:overflowPunct/>
        <w:topLinePunct/>
        <w:autoSpaceDE/>
        <w:autoSpaceDN/>
        <w:bidi w:val="0"/>
        <w:rPr>
          <w:rFonts w:hint="eastAsia"/>
          <w:color w:val="auto"/>
          <w:lang w:val="en-US" w:eastAsia="zh-CN"/>
        </w:rPr>
      </w:pPr>
      <w:r>
        <w:rPr>
          <w:rFonts w:hint="eastAsia"/>
          <w:color w:val="auto"/>
          <w:lang w:val="en-US" w:eastAsia="zh-CN"/>
        </w:rPr>
        <w:t>2、应急演练：定期组织应急演练，模拟各类突发事件的发生，检验应急预案的可行性和有效性。通过演练，可以提高员工和安保人员的应急处置能力。</w:t>
      </w:r>
    </w:p>
    <w:p w14:paraId="5E3F8D20">
      <w:pPr>
        <w:pStyle w:val="10"/>
        <w:numPr>
          <w:ilvl w:val="0"/>
          <w:numId w:val="0"/>
        </w:numPr>
        <w:kinsoku w:val="0"/>
        <w:autoSpaceDE w:val="0"/>
        <w:autoSpaceDN w:val="0"/>
        <w:adjustRightInd w:val="0"/>
        <w:snapToGrid w:val="0"/>
        <w:spacing w:line="560" w:lineRule="exact"/>
        <w:jc w:val="left"/>
        <w:textAlignment w:val="baseline"/>
        <w:rPr>
          <w:rFonts w:hint="eastAsia"/>
          <w:color w:val="auto"/>
          <w:lang w:val="en-US" w:eastAsia="zh-CN"/>
        </w:rPr>
      </w:pPr>
    </w:p>
    <w:p w14:paraId="7F900FB4">
      <w:pPr>
        <w:pStyle w:val="10"/>
        <w:numPr>
          <w:ilvl w:val="0"/>
          <w:numId w:val="0"/>
        </w:numPr>
        <w:kinsoku w:val="0"/>
        <w:autoSpaceDE w:val="0"/>
        <w:autoSpaceDN w:val="0"/>
        <w:adjustRightInd w:val="0"/>
        <w:snapToGrid w:val="0"/>
        <w:spacing w:line="560" w:lineRule="exact"/>
        <w:jc w:val="left"/>
        <w:textAlignment w:val="baseline"/>
        <w:rPr>
          <w:rFonts w:hint="eastAsia"/>
          <w:color w:val="auto"/>
          <w:lang w:val="en-US" w:eastAsia="zh-CN"/>
        </w:rPr>
      </w:pPr>
    </w:p>
    <w:p w14:paraId="318EA04F">
      <w:pPr>
        <w:pStyle w:val="10"/>
        <w:numPr>
          <w:ilvl w:val="0"/>
          <w:numId w:val="0"/>
        </w:numPr>
        <w:kinsoku w:val="0"/>
        <w:autoSpaceDE w:val="0"/>
        <w:autoSpaceDN w:val="0"/>
        <w:adjustRightInd w:val="0"/>
        <w:snapToGrid w:val="0"/>
        <w:spacing w:line="560" w:lineRule="exact"/>
        <w:jc w:val="left"/>
        <w:textAlignment w:val="baseline"/>
        <w:rPr>
          <w:rFonts w:hint="eastAsia"/>
          <w:color w:val="auto"/>
          <w:lang w:val="en-US" w:eastAsia="zh-CN"/>
        </w:rPr>
      </w:pPr>
    </w:p>
    <w:p w14:paraId="2A063D54">
      <w:pPr>
        <w:pStyle w:val="10"/>
        <w:numPr>
          <w:ilvl w:val="0"/>
          <w:numId w:val="0"/>
        </w:numPr>
        <w:kinsoku w:val="0"/>
        <w:autoSpaceDE w:val="0"/>
        <w:autoSpaceDN w:val="0"/>
        <w:adjustRightInd w:val="0"/>
        <w:snapToGrid w:val="0"/>
        <w:spacing w:line="560" w:lineRule="exact"/>
        <w:jc w:val="left"/>
        <w:textAlignment w:val="baseline"/>
        <w:rPr>
          <w:rFonts w:hint="eastAsia"/>
          <w:color w:val="auto"/>
          <w:lang w:val="en-US" w:eastAsia="zh-CN"/>
        </w:rPr>
      </w:pPr>
    </w:p>
    <w:p w14:paraId="7ECDB7A9">
      <w:pPr>
        <w:pStyle w:val="2"/>
        <w:pageBreakBefore w:val="0"/>
        <w:widowControl/>
        <w:kinsoku/>
        <w:wordWrap w:val="0"/>
        <w:overflowPunct/>
        <w:topLinePunct/>
        <w:autoSpaceDE/>
        <w:autoSpaceDN/>
        <w:bidi w:val="0"/>
        <w:rPr>
          <w:rFonts w:hint="eastAsia"/>
          <w:color w:val="auto"/>
        </w:rPr>
      </w:pPr>
      <w:bookmarkStart w:id="258" w:name="_Toc8103"/>
      <w:bookmarkStart w:id="259" w:name="_Toc13798"/>
      <w:bookmarkStart w:id="260" w:name="_Toc25862"/>
      <w:bookmarkStart w:id="261" w:name="_Toc25245"/>
      <w:bookmarkStart w:id="262" w:name="_Toc15176"/>
      <w:bookmarkStart w:id="263" w:name="_Toc14140"/>
      <w:bookmarkStart w:id="264" w:name="_Toc8246"/>
      <w:bookmarkStart w:id="265" w:name="_Toc26908"/>
      <w:bookmarkStart w:id="266" w:name="_Toc21268"/>
      <w:bookmarkStart w:id="267" w:name="_Toc14494"/>
      <w:bookmarkStart w:id="268" w:name="_Toc7349"/>
      <w:bookmarkStart w:id="269" w:name="_Toc2219"/>
      <w:bookmarkStart w:id="270" w:name="_Toc14921"/>
      <w:r>
        <w:rPr>
          <w:rFonts w:hint="eastAsia"/>
          <w:color w:val="auto"/>
          <w:lang w:val="en-US" w:eastAsia="zh-CN"/>
        </w:rPr>
        <w:t xml:space="preserve">第七章  </w:t>
      </w:r>
      <w:r>
        <w:rPr>
          <w:rFonts w:hint="eastAsia"/>
          <w:color w:val="auto"/>
        </w:rPr>
        <w:t>研究结论及建议</w:t>
      </w:r>
      <w:bookmarkEnd w:id="258"/>
      <w:bookmarkEnd w:id="259"/>
      <w:bookmarkEnd w:id="260"/>
      <w:bookmarkEnd w:id="261"/>
      <w:bookmarkEnd w:id="262"/>
      <w:bookmarkEnd w:id="263"/>
      <w:bookmarkEnd w:id="264"/>
      <w:bookmarkEnd w:id="265"/>
      <w:bookmarkEnd w:id="266"/>
      <w:bookmarkEnd w:id="267"/>
      <w:bookmarkEnd w:id="268"/>
      <w:bookmarkEnd w:id="269"/>
      <w:bookmarkEnd w:id="270"/>
    </w:p>
    <w:p w14:paraId="70AE3981">
      <w:pPr>
        <w:pStyle w:val="3"/>
        <w:pageBreakBefore w:val="0"/>
        <w:widowControl/>
        <w:kinsoku/>
        <w:wordWrap w:val="0"/>
        <w:overflowPunct/>
        <w:topLinePunct/>
        <w:autoSpaceDE/>
        <w:autoSpaceDN/>
        <w:bidi w:val="0"/>
        <w:rPr>
          <w:rFonts w:hint="eastAsia"/>
          <w:color w:val="auto"/>
          <w:lang w:val="en-US" w:eastAsia="zh-CN"/>
        </w:rPr>
      </w:pPr>
      <w:bookmarkStart w:id="271" w:name="_Toc31477"/>
      <w:r>
        <w:rPr>
          <w:rFonts w:hint="eastAsia"/>
          <w:color w:val="auto"/>
          <w:lang w:val="en-US" w:eastAsia="zh-CN"/>
        </w:rPr>
        <w:t>7.1研究结论</w:t>
      </w:r>
      <w:bookmarkEnd w:id="271"/>
    </w:p>
    <w:p w14:paraId="763CFC14">
      <w:pPr>
        <w:rPr>
          <w:color w:val="auto"/>
        </w:rPr>
      </w:pPr>
      <w:r>
        <w:rPr>
          <w:color w:val="auto"/>
        </w:rPr>
        <w:t>随着中国社会老龄化进程的加速，老年人口比例持续上升，对高品质养老服务的需求日益增加。</w:t>
      </w:r>
      <w:r>
        <w:rPr>
          <w:rFonts w:hint="eastAsia"/>
          <w:color w:val="auto"/>
          <w:lang w:eastAsia="zh-CN"/>
        </w:rPr>
        <w:t>扬州华璟养老产业有限公司GZ768地块康养项目</w:t>
      </w:r>
      <w:r>
        <w:rPr>
          <w:color w:val="auto"/>
        </w:rPr>
        <w:t>通过整合医疗、护理、文娱等资源，为老年人提供全生命周期的一体化养老解决方案，有效匹配了市场需求。项目的成功运营将缓解当前养老设施供需错配的问题，提升区域养老服务供给水平。</w:t>
      </w:r>
    </w:p>
    <w:p w14:paraId="20FEC9BE">
      <w:pPr>
        <w:pageBreakBefore w:val="0"/>
        <w:widowControl/>
        <w:kinsoku/>
        <w:wordWrap w:val="0"/>
        <w:overflowPunct/>
        <w:topLinePunct/>
        <w:autoSpaceDE/>
        <w:autoSpaceDN/>
        <w:bidi w:val="0"/>
        <w:rPr>
          <w:rFonts w:hint="eastAsia"/>
          <w:color w:val="auto"/>
          <w:lang w:val="en-US" w:eastAsia="zh-CN"/>
        </w:rPr>
      </w:pPr>
      <w:r>
        <w:rPr>
          <w:rFonts w:hint="eastAsia"/>
          <w:color w:val="auto"/>
          <w:lang w:val="en-US" w:eastAsia="zh-CN"/>
        </w:rPr>
        <w:t>1、本项目的建设符合国家有关法律、法规的要求。</w:t>
      </w:r>
    </w:p>
    <w:p w14:paraId="03F10B0F">
      <w:pPr>
        <w:pageBreakBefore w:val="0"/>
        <w:widowControl/>
        <w:kinsoku/>
        <w:wordWrap w:val="0"/>
        <w:overflowPunct/>
        <w:topLinePunct/>
        <w:autoSpaceDE/>
        <w:autoSpaceDN/>
        <w:bidi w:val="0"/>
        <w:rPr>
          <w:rFonts w:hint="eastAsia"/>
          <w:color w:val="auto"/>
          <w:lang w:val="en-US" w:eastAsia="zh-CN"/>
        </w:rPr>
      </w:pPr>
      <w:r>
        <w:rPr>
          <w:rFonts w:hint="eastAsia"/>
          <w:color w:val="auto"/>
          <w:lang w:val="en-US" w:eastAsia="zh-CN"/>
        </w:rPr>
        <w:t>2、本项目建设符合区域规划和土地利用规划，符合当地政府对竞得土地的相关规定。</w:t>
      </w:r>
    </w:p>
    <w:p w14:paraId="71DB83C6">
      <w:pPr>
        <w:pageBreakBefore w:val="0"/>
        <w:widowControl/>
        <w:kinsoku/>
        <w:wordWrap w:val="0"/>
        <w:overflowPunct/>
        <w:topLinePunct/>
        <w:autoSpaceDE/>
        <w:autoSpaceDN/>
        <w:bidi w:val="0"/>
        <w:rPr>
          <w:rFonts w:hint="eastAsia"/>
          <w:color w:val="auto"/>
          <w:lang w:val="en-US" w:eastAsia="zh-CN"/>
        </w:rPr>
      </w:pPr>
      <w:r>
        <w:rPr>
          <w:rFonts w:hint="eastAsia"/>
          <w:color w:val="auto"/>
          <w:lang w:val="en-US" w:eastAsia="zh-CN"/>
        </w:rPr>
        <w:t>3、本项目建设对周边的环境影响较小，有益于推进城市现代化建设，美化区域环境。</w:t>
      </w:r>
    </w:p>
    <w:p w14:paraId="16DB7470">
      <w:pPr>
        <w:pageBreakBefore w:val="0"/>
        <w:widowControl/>
        <w:kinsoku/>
        <w:wordWrap w:val="0"/>
        <w:overflowPunct/>
        <w:topLinePunct/>
        <w:autoSpaceDE/>
        <w:autoSpaceDN/>
        <w:bidi w:val="0"/>
        <w:rPr>
          <w:rFonts w:hint="eastAsia"/>
          <w:color w:val="auto"/>
          <w:lang w:val="en-US" w:eastAsia="zh-CN"/>
        </w:rPr>
      </w:pPr>
      <w:r>
        <w:rPr>
          <w:rFonts w:hint="eastAsia"/>
          <w:color w:val="auto"/>
          <w:lang w:val="en-US" w:eastAsia="zh-CN"/>
        </w:rPr>
        <w:t>4、本项目具有较好的经济效益和显著的社会效益。</w:t>
      </w:r>
    </w:p>
    <w:p w14:paraId="35FD6889">
      <w:pPr>
        <w:pageBreakBefore w:val="0"/>
        <w:widowControl/>
        <w:kinsoku/>
        <w:wordWrap w:val="0"/>
        <w:overflowPunct/>
        <w:topLinePunct/>
        <w:autoSpaceDE/>
        <w:autoSpaceDN/>
        <w:bidi w:val="0"/>
        <w:rPr>
          <w:rFonts w:hint="eastAsia"/>
          <w:color w:val="auto"/>
          <w:lang w:val="en-US" w:eastAsia="zh-CN"/>
        </w:rPr>
      </w:pPr>
      <w:r>
        <w:rPr>
          <w:rFonts w:hint="eastAsia"/>
          <w:color w:val="auto"/>
          <w:lang w:val="en-US" w:eastAsia="zh-CN"/>
        </w:rPr>
        <w:t>综上所述，本项目规模适当、布局合理、符合相关要求，且对该区域的经济繁荣，起到一定的促进作用。该项目的建设，符合目前扬州市经济发展的方向，并能实际满足邗江区发展需求。</w:t>
      </w:r>
    </w:p>
    <w:p w14:paraId="659BDFBA">
      <w:pPr>
        <w:pageBreakBefore w:val="0"/>
        <w:widowControl/>
        <w:kinsoku/>
        <w:wordWrap w:val="0"/>
        <w:overflowPunct/>
        <w:topLinePunct/>
        <w:autoSpaceDE/>
        <w:autoSpaceDN/>
        <w:bidi w:val="0"/>
        <w:rPr>
          <w:rFonts w:hint="eastAsia"/>
          <w:color w:val="auto"/>
          <w:lang w:val="en-US" w:eastAsia="zh-CN"/>
        </w:rPr>
      </w:pPr>
      <w:r>
        <w:rPr>
          <w:rFonts w:hint="eastAsia"/>
          <w:color w:val="auto"/>
          <w:lang w:val="en-US" w:eastAsia="zh-CN"/>
        </w:rPr>
        <w:t>因此，该项目是可行的，建议有关部门尽快批准该项目可研报告，以利于下一步工作的开展。</w:t>
      </w:r>
    </w:p>
    <w:p w14:paraId="325652D9">
      <w:pPr>
        <w:pStyle w:val="3"/>
        <w:pageBreakBefore w:val="0"/>
        <w:widowControl/>
        <w:kinsoku/>
        <w:wordWrap w:val="0"/>
        <w:overflowPunct/>
        <w:topLinePunct/>
        <w:autoSpaceDE/>
        <w:autoSpaceDN/>
        <w:bidi w:val="0"/>
        <w:rPr>
          <w:rFonts w:hint="eastAsia"/>
          <w:color w:val="auto"/>
          <w:lang w:val="en-US" w:eastAsia="zh-CN"/>
        </w:rPr>
      </w:pPr>
      <w:bookmarkStart w:id="272" w:name="_Toc4037"/>
      <w:r>
        <w:rPr>
          <w:rFonts w:hint="eastAsia"/>
          <w:color w:val="auto"/>
          <w:lang w:val="en-US" w:eastAsia="zh-CN"/>
        </w:rPr>
        <w:t>7.2建议</w:t>
      </w:r>
      <w:bookmarkEnd w:id="272"/>
    </w:p>
    <w:p w14:paraId="1776A14A">
      <w:pPr>
        <w:pageBreakBefore w:val="0"/>
        <w:widowControl/>
        <w:kinsoku/>
        <w:wordWrap w:val="0"/>
        <w:overflowPunct/>
        <w:topLinePunct/>
        <w:autoSpaceDE/>
        <w:autoSpaceDN/>
        <w:bidi w:val="0"/>
        <w:rPr>
          <w:rFonts w:hint="default"/>
          <w:color w:val="auto"/>
          <w:lang w:val="en-US" w:eastAsia="zh-CN"/>
        </w:rPr>
      </w:pPr>
      <w:r>
        <w:rPr>
          <w:rFonts w:hint="eastAsia"/>
          <w:color w:val="auto"/>
          <w:lang w:val="en-US" w:eastAsia="zh-CN"/>
        </w:rPr>
        <w:t>为保证项目顺利实施，进一步提高经济效益、环境效益和社会</w:t>
      </w:r>
      <w:bookmarkStart w:id="273" w:name="_GoBack"/>
      <w:bookmarkEnd w:id="273"/>
      <w:r>
        <w:rPr>
          <w:rFonts w:hint="eastAsia"/>
          <w:color w:val="auto"/>
          <w:lang w:val="en-US" w:eastAsia="zh-CN"/>
        </w:rPr>
        <w:t>效益，建议建设单位在下一步工作中考虑：建设单位应做好项目立项等前期准备工作，以保证项目的顺利实施，并达到预期目的。</w:t>
      </w:r>
    </w:p>
    <w:p w14:paraId="0A00087B">
      <w:pPr>
        <w:pageBreakBefore w:val="0"/>
        <w:widowControl/>
        <w:kinsoku/>
        <w:wordWrap w:val="0"/>
        <w:overflowPunct/>
        <w:topLinePunct/>
        <w:autoSpaceDE/>
        <w:autoSpaceDN/>
        <w:bidi w:val="0"/>
        <w:rPr>
          <w:rFonts w:hint="default"/>
          <w:color w:val="auto"/>
          <w:lang w:val="en-US" w:eastAsia="zh-CN"/>
        </w:rPr>
      </w:pPr>
    </w:p>
    <w:sectPr>
      <w:headerReference r:id="rId9" w:type="default"/>
      <w:footerReference r:id="rId10" w:type="default"/>
      <w:pgSz w:w="11906" w:h="16839"/>
      <w:pgMar w:top="850" w:right="1800" w:bottom="850" w:left="1800" w:header="1134" w:footer="1134"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3F94D70D-5AE1-4142-B024-D46B861622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文鼎CS中宋">
    <w:altName w:val="宋体"/>
    <w:panose1 w:val="00000000000000000000"/>
    <w:charset w:val="86"/>
    <w:family w:val="modern"/>
    <w:pitch w:val="default"/>
    <w:sig w:usb0="00000000" w:usb1="00000000" w:usb2="00000010" w:usb3="00000000" w:csb0="00040000" w:csb1="00000000"/>
  </w:font>
  <w:font w:name="PMingLiU">
    <w:panose1 w:val="02020500000000000000"/>
    <w:charset w:val="88"/>
    <w:family w:val="auto"/>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F49ADE">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E8CF33">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41CD248">
                          <w:pPr>
                            <w:pStyle w:val="1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T72nYy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pPvadjICAABjBAAADgAAAAAAAAABACAAAAAfAQAAZHJzL2Uyb0RvYy54bWxQSwUG&#10;AAAAAAYABgBZAQAAwwUAAAAA&#10;">
              <v:fill on="f" focussize="0,0"/>
              <v:stroke on="f" weight="0.5pt"/>
              <v:imagedata o:title=""/>
              <o:lock v:ext="edit" aspectratio="f"/>
              <v:textbox inset="0mm,0mm,0mm,0mm" style="mso-fit-shape-to-text:t;">
                <w:txbxContent>
                  <w:p w14:paraId="741CD248">
                    <w:pPr>
                      <w:pStyle w:val="11"/>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5D93DC">
    <w:pPr>
      <w:spacing w:after="197" w:line="30" w:lineRule="exact"/>
      <w:textAlignment w:val="center"/>
    </w:pPr>
    <w:r>
      <w:rPr>
        <w:sz w:val="2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E102C17">
                          <w:pPr>
                            <w:pStyle w:val="11"/>
                          </w:pPr>
                          <w:r>
                            <w:fldChar w:fldCharType="begin"/>
                          </w:r>
                          <w:r>
                            <w:instrText xml:space="preserve"> PAGE  \* MERGEFORMAT </w:instrText>
                          </w:r>
                          <w:r>
                            <w:fldChar w:fldCharType="separate"/>
                          </w:r>
                          <w:r>
                            <w:t>17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R3mOY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GJYRoVv3z/dvnx&#10;6/LzK8EZBKpdmCNu5xAZm7e2QdsM5wGHiXdTep2+YETgB9b5Kq9oIuHp0mw6m43h4vANG+Bnj9ed&#10;D/GdsJokI6ce9WtlZadtiF3oEJKyGbuRSrU1VIbUOb15/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HeY5jICAABjBAAADgAAAAAAAAABACAAAAAfAQAAZHJzL2Uyb0RvYy54bWxQSwUG&#10;AAAAAAYABgBZAQAAwwUAAAAA&#10;">
              <v:fill on="f" focussize="0,0"/>
              <v:stroke on="f" weight="0.5pt"/>
              <v:imagedata o:title=""/>
              <o:lock v:ext="edit" aspectratio="f"/>
              <v:textbox inset="0mm,0mm,0mm,0mm" style="mso-fit-shape-to-text:t;">
                <w:txbxContent>
                  <w:p w14:paraId="3E102C17">
                    <w:pPr>
                      <w:pStyle w:val="11"/>
                    </w:pPr>
                    <w:r>
                      <w:fldChar w:fldCharType="begin"/>
                    </w:r>
                    <w:r>
                      <w:instrText xml:space="preserve"> PAGE  \* MERGEFORMAT </w:instrText>
                    </w:r>
                    <w:r>
                      <w:fldChar w:fldCharType="separate"/>
                    </w:r>
                    <w:r>
                      <w:t>17</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69076E">
    <w:pPr>
      <w:spacing w:line="173" w:lineRule="auto"/>
      <w:ind w:left="4144"/>
      <w:rPr>
        <w:rFonts w:ascii="宋体" w:hAnsi="宋体" w:eastAsia="宋体" w:cs="宋体"/>
        <w:sz w:val="21"/>
        <w:szCs w:val="21"/>
      </w:rPr>
    </w:pPr>
    <w:r>
      <w:rPr>
        <w:sz w:val="21"/>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BCCF451">
                          <w:pPr>
                            <w:pStyle w:val="11"/>
                          </w:pPr>
                          <w:r>
                            <w:fldChar w:fldCharType="begin"/>
                          </w:r>
                          <w:r>
                            <w:instrText xml:space="preserve"> PAGE  \* MERGEFORMAT </w:instrText>
                          </w:r>
                          <w:r>
                            <w:fldChar w:fldCharType="separate"/>
                          </w:r>
                          <w:r>
                            <w:t>88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EhxuI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ESHG4jICAABjBAAADgAAAAAAAAABACAAAAAfAQAAZHJzL2Uyb0RvYy54bWxQSwUG&#10;AAAAAAYABgBZAQAAwwUAAAAA&#10;">
              <v:fill on="f" focussize="0,0"/>
              <v:stroke on="f" weight="0.5pt"/>
              <v:imagedata o:title=""/>
              <o:lock v:ext="edit" aspectratio="f"/>
              <v:textbox inset="0mm,0mm,0mm,0mm" style="mso-fit-shape-to-text:t;">
                <w:txbxContent>
                  <w:p w14:paraId="7BCCF451">
                    <w:pPr>
                      <w:pStyle w:val="11"/>
                    </w:pPr>
                    <w:r>
                      <w:fldChar w:fldCharType="begin"/>
                    </w:r>
                    <w:r>
                      <w:instrText xml:space="preserve"> PAGE  \* MERGEFORMAT </w:instrText>
                    </w:r>
                    <w:r>
                      <w:fldChar w:fldCharType="separate"/>
                    </w:r>
                    <w:r>
                      <w:t>88</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422DE0">
    <w:pPr>
      <w:pStyle w:val="10"/>
      <w:numPr>
        <w:ilvl w:val="0"/>
        <w:numId w:val="0"/>
      </w:num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32875A">
    <w:pPr>
      <w:spacing w:line="1" w:lineRule="exact"/>
      <w:ind w:firstLine="5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4031AE3"/>
    <w:multiLevelType w:val="singleLevel"/>
    <w:tmpl w:val="14031AE3"/>
    <w:lvl w:ilvl="0" w:tentative="0">
      <w:start w:val="1"/>
      <w:numFmt w:val="bullet"/>
      <w:pStyle w:val="10"/>
      <w:lvlText w:val=""/>
      <w:lvlJc w:val="left"/>
      <w:pPr>
        <w:tabs>
          <w:tab w:val="left" w:pos="780"/>
        </w:tabs>
        <w:ind w:left="78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isplayBackgroundShape w:val="1"/>
  <w:embedTrueTypeFonts/>
  <w:saveSubsetFonts/>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MmE1MjNlZjI3ZjM0OTU4NGY0NDcxOWIzYmQzZjk5OTQifQ=="/>
  </w:docVars>
  <w:rsids>
    <w:rsidRoot w:val="00000000"/>
    <w:rsid w:val="003C275D"/>
    <w:rsid w:val="0060468A"/>
    <w:rsid w:val="00BA4716"/>
    <w:rsid w:val="01042CD3"/>
    <w:rsid w:val="013F2422"/>
    <w:rsid w:val="01565C22"/>
    <w:rsid w:val="019D0802"/>
    <w:rsid w:val="01BA5715"/>
    <w:rsid w:val="020F7B7E"/>
    <w:rsid w:val="02AA4AEE"/>
    <w:rsid w:val="02B03222"/>
    <w:rsid w:val="02BC3862"/>
    <w:rsid w:val="03333E91"/>
    <w:rsid w:val="038D4045"/>
    <w:rsid w:val="03AB668F"/>
    <w:rsid w:val="03ED3A3D"/>
    <w:rsid w:val="04604903"/>
    <w:rsid w:val="05035E30"/>
    <w:rsid w:val="052C440D"/>
    <w:rsid w:val="05C07186"/>
    <w:rsid w:val="05C42D45"/>
    <w:rsid w:val="064B6477"/>
    <w:rsid w:val="06D41534"/>
    <w:rsid w:val="06EE2458"/>
    <w:rsid w:val="07373DFF"/>
    <w:rsid w:val="078608E3"/>
    <w:rsid w:val="07F27D26"/>
    <w:rsid w:val="07FC7902"/>
    <w:rsid w:val="082D2CC0"/>
    <w:rsid w:val="08867257"/>
    <w:rsid w:val="08E6788B"/>
    <w:rsid w:val="092C4CF1"/>
    <w:rsid w:val="09B23C11"/>
    <w:rsid w:val="09D61021"/>
    <w:rsid w:val="09DB49C5"/>
    <w:rsid w:val="0A1246B0"/>
    <w:rsid w:val="0A527E5A"/>
    <w:rsid w:val="0AA6225D"/>
    <w:rsid w:val="0B6A06C6"/>
    <w:rsid w:val="0B753148"/>
    <w:rsid w:val="0B7D6E0C"/>
    <w:rsid w:val="0B8F08F0"/>
    <w:rsid w:val="0BB66A89"/>
    <w:rsid w:val="0C2448DD"/>
    <w:rsid w:val="0C655CBA"/>
    <w:rsid w:val="0CC53E42"/>
    <w:rsid w:val="0D233138"/>
    <w:rsid w:val="0D514B76"/>
    <w:rsid w:val="0DB37347"/>
    <w:rsid w:val="0DFD18E2"/>
    <w:rsid w:val="0E0802A4"/>
    <w:rsid w:val="0E097E37"/>
    <w:rsid w:val="0E48009E"/>
    <w:rsid w:val="0E981627"/>
    <w:rsid w:val="0EE338E9"/>
    <w:rsid w:val="0F312C7C"/>
    <w:rsid w:val="0FE62C24"/>
    <w:rsid w:val="10507CE0"/>
    <w:rsid w:val="109519F1"/>
    <w:rsid w:val="1161032A"/>
    <w:rsid w:val="117D4B05"/>
    <w:rsid w:val="11965868"/>
    <w:rsid w:val="12BC340B"/>
    <w:rsid w:val="13EA39A5"/>
    <w:rsid w:val="14060A9E"/>
    <w:rsid w:val="15B774E2"/>
    <w:rsid w:val="16E53C9C"/>
    <w:rsid w:val="171F236D"/>
    <w:rsid w:val="1738306D"/>
    <w:rsid w:val="18111B7A"/>
    <w:rsid w:val="1813785A"/>
    <w:rsid w:val="18301906"/>
    <w:rsid w:val="184B3EED"/>
    <w:rsid w:val="186E717E"/>
    <w:rsid w:val="187826B5"/>
    <w:rsid w:val="1884298E"/>
    <w:rsid w:val="18927DF0"/>
    <w:rsid w:val="18E91DC1"/>
    <w:rsid w:val="19861369"/>
    <w:rsid w:val="1A556344"/>
    <w:rsid w:val="1AFF658A"/>
    <w:rsid w:val="1B2B55D1"/>
    <w:rsid w:val="1B4C0E71"/>
    <w:rsid w:val="1BB43819"/>
    <w:rsid w:val="1CA53B30"/>
    <w:rsid w:val="1CD55564"/>
    <w:rsid w:val="1D1C7587"/>
    <w:rsid w:val="1D5177EF"/>
    <w:rsid w:val="1D8423B0"/>
    <w:rsid w:val="1D917E03"/>
    <w:rsid w:val="1DCE7A53"/>
    <w:rsid w:val="1E200CF1"/>
    <w:rsid w:val="1E63121F"/>
    <w:rsid w:val="1F152820"/>
    <w:rsid w:val="1F255E97"/>
    <w:rsid w:val="20CE50D3"/>
    <w:rsid w:val="20D14525"/>
    <w:rsid w:val="21D51911"/>
    <w:rsid w:val="21E878B9"/>
    <w:rsid w:val="220D7278"/>
    <w:rsid w:val="23992025"/>
    <w:rsid w:val="23EB109F"/>
    <w:rsid w:val="241C63FF"/>
    <w:rsid w:val="24FE18F3"/>
    <w:rsid w:val="252918F8"/>
    <w:rsid w:val="259A05FA"/>
    <w:rsid w:val="25F902C4"/>
    <w:rsid w:val="263B5399"/>
    <w:rsid w:val="265C4DF4"/>
    <w:rsid w:val="26872FF5"/>
    <w:rsid w:val="27DA375C"/>
    <w:rsid w:val="281318C7"/>
    <w:rsid w:val="286A06EF"/>
    <w:rsid w:val="28CA642A"/>
    <w:rsid w:val="28FE60D3"/>
    <w:rsid w:val="294468A4"/>
    <w:rsid w:val="297D349C"/>
    <w:rsid w:val="298A5BB9"/>
    <w:rsid w:val="29BD193D"/>
    <w:rsid w:val="2A1D31BA"/>
    <w:rsid w:val="2A4B74A3"/>
    <w:rsid w:val="2A6D4412"/>
    <w:rsid w:val="2A9F0A77"/>
    <w:rsid w:val="2ADC6642"/>
    <w:rsid w:val="2AEB573F"/>
    <w:rsid w:val="2B0D5692"/>
    <w:rsid w:val="2B0D6AA1"/>
    <w:rsid w:val="2B99061A"/>
    <w:rsid w:val="2BA33831"/>
    <w:rsid w:val="2BA505DD"/>
    <w:rsid w:val="2BC462A7"/>
    <w:rsid w:val="2C047EA4"/>
    <w:rsid w:val="2C324A12"/>
    <w:rsid w:val="2CED2CD4"/>
    <w:rsid w:val="2D684463"/>
    <w:rsid w:val="2DC86CB0"/>
    <w:rsid w:val="2EA82FFA"/>
    <w:rsid w:val="2F397E65"/>
    <w:rsid w:val="2F9E22C2"/>
    <w:rsid w:val="302A608A"/>
    <w:rsid w:val="302D729E"/>
    <w:rsid w:val="309B5472"/>
    <w:rsid w:val="30CE7517"/>
    <w:rsid w:val="30E958BB"/>
    <w:rsid w:val="31CB6D6E"/>
    <w:rsid w:val="321569E0"/>
    <w:rsid w:val="322D5319"/>
    <w:rsid w:val="323D5EBE"/>
    <w:rsid w:val="329B2BE5"/>
    <w:rsid w:val="33641229"/>
    <w:rsid w:val="336D1938"/>
    <w:rsid w:val="34513BC3"/>
    <w:rsid w:val="34B85BE4"/>
    <w:rsid w:val="35115933"/>
    <w:rsid w:val="355730AC"/>
    <w:rsid w:val="357F234A"/>
    <w:rsid w:val="35A52495"/>
    <w:rsid w:val="35D002DD"/>
    <w:rsid w:val="36B83878"/>
    <w:rsid w:val="36C546D4"/>
    <w:rsid w:val="37314AC4"/>
    <w:rsid w:val="391623A5"/>
    <w:rsid w:val="3A217E73"/>
    <w:rsid w:val="3AA91DCA"/>
    <w:rsid w:val="3B4A1B21"/>
    <w:rsid w:val="3BB95BA3"/>
    <w:rsid w:val="3C7E0814"/>
    <w:rsid w:val="3D197528"/>
    <w:rsid w:val="3D3216F0"/>
    <w:rsid w:val="3DA87E60"/>
    <w:rsid w:val="3DEA0E66"/>
    <w:rsid w:val="3DF32FC8"/>
    <w:rsid w:val="3E5D22C8"/>
    <w:rsid w:val="3EBC63BD"/>
    <w:rsid w:val="3ED1056A"/>
    <w:rsid w:val="3EE84FA2"/>
    <w:rsid w:val="3F0064A7"/>
    <w:rsid w:val="3F2528C6"/>
    <w:rsid w:val="3FFA17D4"/>
    <w:rsid w:val="403846D1"/>
    <w:rsid w:val="41163A35"/>
    <w:rsid w:val="414E4514"/>
    <w:rsid w:val="425F440E"/>
    <w:rsid w:val="42DC527F"/>
    <w:rsid w:val="43470E11"/>
    <w:rsid w:val="4352109E"/>
    <w:rsid w:val="43584647"/>
    <w:rsid w:val="44627A06"/>
    <w:rsid w:val="454F5136"/>
    <w:rsid w:val="45767D88"/>
    <w:rsid w:val="45857508"/>
    <w:rsid w:val="46805F22"/>
    <w:rsid w:val="46C67DD9"/>
    <w:rsid w:val="46D16794"/>
    <w:rsid w:val="46E06B6B"/>
    <w:rsid w:val="47887727"/>
    <w:rsid w:val="47C44E63"/>
    <w:rsid w:val="47C6205A"/>
    <w:rsid w:val="480815D1"/>
    <w:rsid w:val="480D1A37"/>
    <w:rsid w:val="486E0728"/>
    <w:rsid w:val="48C07043"/>
    <w:rsid w:val="49402B84"/>
    <w:rsid w:val="49C523D3"/>
    <w:rsid w:val="4A6F4C2B"/>
    <w:rsid w:val="4A827938"/>
    <w:rsid w:val="4AAC4BBB"/>
    <w:rsid w:val="4AC629FC"/>
    <w:rsid w:val="4AD93E52"/>
    <w:rsid w:val="4B1042D3"/>
    <w:rsid w:val="4C4F087F"/>
    <w:rsid w:val="4DA53B52"/>
    <w:rsid w:val="4DA93FB0"/>
    <w:rsid w:val="4DCA5FCA"/>
    <w:rsid w:val="4E040100"/>
    <w:rsid w:val="4E707723"/>
    <w:rsid w:val="4E7B3B9E"/>
    <w:rsid w:val="4E7B594C"/>
    <w:rsid w:val="4E7C606C"/>
    <w:rsid w:val="4EAF3371"/>
    <w:rsid w:val="4EF70D4B"/>
    <w:rsid w:val="4F083BE4"/>
    <w:rsid w:val="4F440434"/>
    <w:rsid w:val="4FC228AC"/>
    <w:rsid w:val="5006383B"/>
    <w:rsid w:val="505B75EC"/>
    <w:rsid w:val="515B3BD9"/>
    <w:rsid w:val="51EF5D27"/>
    <w:rsid w:val="51FF4AE6"/>
    <w:rsid w:val="521A0EB9"/>
    <w:rsid w:val="521C68BA"/>
    <w:rsid w:val="52270B12"/>
    <w:rsid w:val="52BA3C9F"/>
    <w:rsid w:val="52CC4C54"/>
    <w:rsid w:val="52FB52AE"/>
    <w:rsid w:val="52FB52ED"/>
    <w:rsid w:val="533A0F7D"/>
    <w:rsid w:val="53C358B3"/>
    <w:rsid w:val="54316AAD"/>
    <w:rsid w:val="5446753A"/>
    <w:rsid w:val="55B47996"/>
    <w:rsid w:val="560D6B45"/>
    <w:rsid w:val="57C86F4A"/>
    <w:rsid w:val="585D4277"/>
    <w:rsid w:val="58FB67C7"/>
    <w:rsid w:val="59344B49"/>
    <w:rsid w:val="595C5D13"/>
    <w:rsid w:val="5967328B"/>
    <w:rsid w:val="596811C3"/>
    <w:rsid w:val="59CD5B45"/>
    <w:rsid w:val="5B0C229C"/>
    <w:rsid w:val="5BD05F91"/>
    <w:rsid w:val="5BFE5E0F"/>
    <w:rsid w:val="5C043D43"/>
    <w:rsid w:val="5C691011"/>
    <w:rsid w:val="5CA52A3F"/>
    <w:rsid w:val="5CFB4558"/>
    <w:rsid w:val="5D0B07E3"/>
    <w:rsid w:val="5DA6532F"/>
    <w:rsid w:val="5DB46785"/>
    <w:rsid w:val="5DD161F0"/>
    <w:rsid w:val="5E151F12"/>
    <w:rsid w:val="5E785A05"/>
    <w:rsid w:val="5EDC15F0"/>
    <w:rsid w:val="5FAB3943"/>
    <w:rsid w:val="5FF67529"/>
    <w:rsid w:val="606B38F1"/>
    <w:rsid w:val="609805E0"/>
    <w:rsid w:val="60AF1486"/>
    <w:rsid w:val="61265BEC"/>
    <w:rsid w:val="615269E1"/>
    <w:rsid w:val="61E73B15"/>
    <w:rsid w:val="621A6DD3"/>
    <w:rsid w:val="624E72A4"/>
    <w:rsid w:val="628D3DE6"/>
    <w:rsid w:val="63497DA5"/>
    <w:rsid w:val="63511E87"/>
    <w:rsid w:val="63E65DD7"/>
    <w:rsid w:val="64142BB5"/>
    <w:rsid w:val="64290E08"/>
    <w:rsid w:val="64992B79"/>
    <w:rsid w:val="64A216CA"/>
    <w:rsid w:val="64DB0A9B"/>
    <w:rsid w:val="64E151CA"/>
    <w:rsid w:val="652A2386"/>
    <w:rsid w:val="65AF6756"/>
    <w:rsid w:val="664B7EA3"/>
    <w:rsid w:val="666351EC"/>
    <w:rsid w:val="6681025D"/>
    <w:rsid w:val="66860EDB"/>
    <w:rsid w:val="66AD6467"/>
    <w:rsid w:val="676B034F"/>
    <w:rsid w:val="67E059C9"/>
    <w:rsid w:val="67FD1E29"/>
    <w:rsid w:val="67FF2CF3"/>
    <w:rsid w:val="681F1256"/>
    <w:rsid w:val="68230B5D"/>
    <w:rsid w:val="68633ACC"/>
    <w:rsid w:val="69450271"/>
    <w:rsid w:val="69CA7330"/>
    <w:rsid w:val="6A8D0A8A"/>
    <w:rsid w:val="6B1E592E"/>
    <w:rsid w:val="6B9F7293"/>
    <w:rsid w:val="6BB95E2A"/>
    <w:rsid w:val="6BC75974"/>
    <w:rsid w:val="6C135B62"/>
    <w:rsid w:val="6C29069D"/>
    <w:rsid w:val="6CD94028"/>
    <w:rsid w:val="6D301257"/>
    <w:rsid w:val="6D461EAA"/>
    <w:rsid w:val="6DC878D9"/>
    <w:rsid w:val="6DE63302"/>
    <w:rsid w:val="6E0616B0"/>
    <w:rsid w:val="6F031FD0"/>
    <w:rsid w:val="6F30606C"/>
    <w:rsid w:val="6F9B7998"/>
    <w:rsid w:val="6FD90488"/>
    <w:rsid w:val="6FEC57A6"/>
    <w:rsid w:val="70473489"/>
    <w:rsid w:val="70AF6D48"/>
    <w:rsid w:val="71367CC2"/>
    <w:rsid w:val="71445C1A"/>
    <w:rsid w:val="71595CF2"/>
    <w:rsid w:val="715C3923"/>
    <w:rsid w:val="717C7162"/>
    <w:rsid w:val="71C74AD2"/>
    <w:rsid w:val="72195CC6"/>
    <w:rsid w:val="7306039D"/>
    <w:rsid w:val="73FA3F35"/>
    <w:rsid w:val="745A795E"/>
    <w:rsid w:val="745C1EFA"/>
    <w:rsid w:val="757B1AF6"/>
    <w:rsid w:val="75AE5679"/>
    <w:rsid w:val="75C13CBB"/>
    <w:rsid w:val="75DF5F11"/>
    <w:rsid w:val="76203B99"/>
    <w:rsid w:val="764F3097"/>
    <w:rsid w:val="76725244"/>
    <w:rsid w:val="770C0F88"/>
    <w:rsid w:val="77440722"/>
    <w:rsid w:val="77D6701F"/>
    <w:rsid w:val="783F2261"/>
    <w:rsid w:val="785663CD"/>
    <w:rsid w:val="78590179"/>
    <w:rsid w:val="78616969"/>
    <w:rsid w:val="79030169"/>
    <w:rsid w:val="797A07C3"/>
    <w:rsid w:val="79C51A56"/>
    <w:rsid w:val="79D17EAF"/>
    <w:rsid w:val="7A5944E4"/>
    <w:rsid w:val="7AEC72FE"/>
    <w:rsid w:val="7B201D85"/>
    <w:rsid w:val="7B8051F7"/>
    <w:rsid w:val="7B87325C"/>
    <w:rsid w:val="7C4A4A2C"/>
    <w:rsid w:val="7C66738C"/>
    <w:rsid w:val="7CBC1078"/>
    <w:rsid w:val="7D58342F"/>
    <w:rsid w:val="7E447259"/>
    <w:rsid w:val="7F402117"/>
    <w:rsid w:val="7FA57F85"/>
    <w:rsid w:val="7FBF325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qFormat="1" w:unhideWhenUsed="0" w:uiPriority="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qFormat="1"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kinsoku w:val="0"/>
      <w:autoSpaceDE w:val="0"/>
      <w:autoSpaceDN w:val="0"/>
      <w:adjustRightInd w:val="0"/>
      <w:snapToGrid w:val="0"/>
      <w:spacing w:line="560" w:lineRule="exact"/>
      <w:ind w:firstLine="420" w:firstLineChars="200"/>
      <w:jc w:val="left"/>
      <w:textAlignment w:val="baseline"/>
    </w:pPr>
    <w:rPr>
      <w:rFonts w:ascii="Arial" w:hAnsi="Arial" w:eastAsia="宋体" w:cs="Arial"/>
      <w:snapToGrid w:val="0"/>
      <w:color w:val="000000"/>
      <w:kern w:val="0"/>
      <w:sz w:val="28"/>
      <w:szCs w:val="21"/>
    </w:rPr>
  </w:style>
  <w:style w:type="paragraph" w:styleId="2">
    <w:name w:val="heading 1"/>
    <w:basedOn w:val="1"/>
    <w:next w:val="1"/>
    <w:link w:val="52"/>
    <w:autoRedefine/>
    <w:qFormat/>
    <w:uiPriority w:val="0"/>
    <w:pPr>
      <w:keepNext/>
      <w:keepLines/>
      <w:spacing w:before="50" w:beforeLines="50" w:beforeAutospacing="0" w:after="50" w:afterLines="50" w:afterAutospacing="0" w:line="560" w:lineRule="exact"/>
      <w:ind w:firstLine="0" w:firstLineChars="0"/>
      <w:jc w:val="center"/>
      <w:outlineLvl w:val="0"/>
    </w:pPr>
    <w:rPr>
      <w:b/>
      <w:kern w:val="44"/>
      <w:sz w:val="44"/>
    </w:rPr>
  </w:style>
  <w:style w:type="paragraph" w:styleId="3">
    <w:name w:val="heading 2"/>
    <w:basedOn w:val="1"/>
    <w:next w:val="1"/>
    <w:autoRedefine/>
    <w:unhideWhenUsed/>
    <w:qFormat/>
    <w:uiPriority w:val="0"/>
    <w:pPr>
      <w:keepNext/>
      <w:keepLines/>
      <w:spacing w:before="50" w:beforeLines="50" w:beforeAutospacing="0" w:after="50" w:afterLines="50" w:afterAutospacing="0" w:line="560" w:lineRule="exact"/>
      <w:ind w:firstLine="0" w:firstLineChars="0"/>
      <w:outlineLvl w:val="1"/>
    </w:pPr>
    <w:rPr>
      <w:b/>
      <w:sz w:val="32"/>
    </w:rPr>
  </w:style>
  <w:style w:type="paragraph" w:styleId="4">
    <w:name w:val="heading 3"/>
    <w:basedOn w:val="1"/>
    <w:next w:val="1"/>
    <w:autoRedefine/>
    <w:unhideWhenUsed/>
    <w:qFormat/>
    <w:uiPriority w:val="0"/>
    <w:pPr>
      <w:keepNext/>
      <w:keepLines/>
      <w:spacing w:before="50" w:beforeLines="50" w:after="50" w:afterLines="50" w:line="560" w:lineRule="exact"/>
      <w:ind w:firstLine="0" w:firstLineChars="0"/>
      <w:outlineLvl w:val="2"/>
    </w:pPr>
    <w:rPr>
      <w:b/>
      <w:sz w:val="30"/>
    </w:rPr>
  </w:style>
  <w:style w:type="paragraph" w:styleId="5">
    <w:name w:val="heading 4"/>
    <w:basedOn w:val="1"/>
    <w:next w:val="1"/>
    <w:autoRedefine/>
    <w:qFormat/>
    <w:uiPriority w:val="0"/>
    <w:pPr>
      <w:keepLines/>
      <w:spacing w:before="50" w:beforeLines="50" w:after="50" w:afterLines="50"/>
      <w:ind w:firstLine="0" w:firstLineChars="0"/>
      <w:outlineLvl w:val="3"/>
    </w:pPr>
    <w:rPr>
      <w:rFonts w:eastAsia="宋体"/>
      <w:b/>
    </w:rPr>
  </w:style>
  <w:style w:type="paragraph" w:styleId="6">
    <w:name w:val="heading 5"/>
    <w:basedOn w:val="1"/>
    <w:next w:val="7"/>
    <w:autoRedefine/>
    <w:qFormat/>
    <w:uiPriority w:val="0"/>
    <w:pPr>
      <w:keepLines/>
      <w:spacing w:before="60" w:after="60"/>
      <w:outlineLvl w:val="4"/>
    </w:pPr>
    <w:rPr>
      <w:b/>
    </w:rPr>
  </w:style>
  <w:style w:type="character" w:default="1" w:styleId="21">
    <w:name w:val="Default Paragraph Font"/>
    <w:autoRedefine/>
    <w:semiHidden/>
    <w:qFormat/>
    <w:uiPriority w:val="0"/>
  </w:style>
  <w:style w:type="table" w:default="1" w:styleId="19">
    <w:name w:val="Normal Table"/>
    <w:autoRedefine/>
    <w:semiHidden/>
    <w:qFormat/>
    <w:uiPriority w:val="0"/>
    <w:tblPr>
      <w:tblCellMar>
        <w:top w:w="0" w:type="dxa"/>
        <w:left w:w="108" w:type="dxa"/>
        <w:bottom w:w="0" w:type="dxa"/>
        <w:right w:w="108" w:type="dxa"/>
      </w:tblCellMar>
    </w:tblPr>
  </w:style>
  <w:style w:type="paragraph" w:styleId="7">
    <w:name w:val="Normal Indent"/>
    <w:basedOn w:val="1"/>
    <w:next w:val="1"/>
    <w:autoRedefine/>
    <w:qFormat/>
    <w:uiPriority w:val="0"/>
    <w:pPr>
      <w:ind w:firstLine="0"/>
    </w:pPr>
  </w:style>
  <w:style w:type="paragraph" w:styleId="8">
    <w:name w:val="Body Text"/>
    <w:basedOn w:val="1"/>
    <w:autoRedefine/>
    <w:semiHidden/>
    <w:qFormat/>
    <w:uiPriority w:val="0"/>
    <w:rPr>
      <w:rFonts w:ascii="微软雅黑" w:hAnsi="微软雅黑" w:eastAsia="微软雅黑" w:cs="微软雅黑"/>
      <w:sz w:val="30"/>
      <w:szCs w:val="30"/>
      <w:lang w:eastAsia="en-US"/>
    </w:rPr>
  </w:style>
  <w:style w:type="paragraph" w:styleId="9">
    <w:name w:val="Body Text Indent"/>
    <w:basedOn w:val="1"/>
    <w:autoRedefine/>
    <w:qFormat/>
    <w:uiPriority w:val="0"/>
    <w:pPr>
      <w:adjustRightInd w:val="0"/>
      <w:spacing w:before="156" w:after="156" w:line="360" w:lineRule="auto"/>
      <w:ind w:firstLine="640"/>
    </w:pPr>
    <w:rPr>
      <w:rFonts w:ascii="仿宋_GB2312" w:eastAsia="仿宋_GB2312"/>
      <w:sz w:val="32"/>
    </w:rPr>
  </w:style>
  <w:style w:type="paragraph" w:styleId="10">
    <w:name w:val="List Bullet 2"/>
    <w:basedOn w:val="1"/>
    <w:autoRedefine/>
    <w:qFormat/>
    <w:uiPriority w:val="0"/>
    <w:pPr>
      <w:numPr>
        <w:ilvl w:val="0"/>
        <w:numId w:val="1"/>
      </w:numPr>
    </w:pPr>
  </w:style>
  <w:style w:type="paragraph" w:styleId="11">
    <w:name w:val="footer"/>
    <w:basedOn w:val="1"/>
    <w:autoRedefine/>
    <w:qFormat/>
    <w:uiPriority w:val="0"/>
    <w:pPr>
      <w:tabs>
        <w:tab w:val="center" w:pos="4153"/>
        <w:tab w:val="right" w:pos="8306"/>
      </w:tabs>
    </w:pPr>
    <w:rPr>
      <w:sz w:val="18"/>
    </w:rPr>
  </w:style>
  <w:style w:type="paragraph" w:styleId="12">
    <w:name w:val="header"/>
    <w:basedOn w:val="1"/>
    <w:next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3">
    <w:name w:val="toc 1"/>
    <w:basedOn w:val="1"/>
    <w:next w:val="1"/>
    <w:autoRedefine/>
    <w:qFormat/>
    <w:uiPriority w:val="0"/>
  </w:style>
  <w:style w:type="paragraph" w:styleId="14">
    <w:name w:val="toc 2"/>
    <w:basedOn w:val="1"/>
    <w:next w:val="1"/>
    <w:autoRedefine/>
    <w:qFormat/>
    <w:uiPriority w:val="0"/>
    <w:pPr>
      <w:ind w:left="420" w:leftChars="200"/>
    </w:pPr>
  </w:style>
  <w:style w:type="paragraph" w:styleId="15">
    <w:name w:val="toc 9"/>
    <w:basedOn w:val="1"/>
    <w:next w:val="1"/>
    <w:autoRedefine/>
    <w:semiHidden/>
    <w:qFormat/>
    <w:uiPriority w:val="0"/>
    <w:pPr>
      <w:ind w:left="1680"/>
    </w:pPr>
    <w:rPr>
      <w:sz w:val="18"/>
      <w:szCs w:val="18"/>
    </w:rPr>
  </w:style>
  <w:style w:type="paragraph" w:styleId="16">
    <w:name w:val="Normal (Web)"/>
    <w:basedOn w:val="1"/>
    <w:autoRedefine/>
    <w:qFormat/>
    <w:uiPriority w:val="0"/>
    <w:pPr>
      <w:widowControl/>
      <w:spacing w:before="100" w:beforeLines="0" w:beforeAutospacing="1" w:after="100" w:afterLines="0" w:afterAutospacing="1"/>
      <w:jc w:val="left"/>
    </w:pPr>
    <w:rPr>
      <w:rFonts w:ascii="宋体" w:hAnsi="宋体" w:cs="宋体"/>
      <w:kern w:val="0"/>
      <w:sz w:val="24"/>
      <w:szCs w:val="24"/>
    </w:rPr>
  </w:style>
  <w:style w:type="paragraph" w:styleId="17">
    <w:name w:val="Body Text First Indent"/>
    <w:basedOn w:val="1"/>
    <w:autoRedefine/>
    <w:qFormat/>
    <w:uiPriority w:val="0"/>
    <w:pPr>
      <w:ind w:firstLine="420" w:firstLineChars="100"/>
    </w:pPr>
  </w:style>
  <w:style w:type="paragraph" w:styleId="18">
    <w:name w:val="Body Text First Indent 2"/>
    <w:basedOn w:val="9"/>
    <w:autoRedefine/>
    <w:unhideWhenUsed/>
    <w:qFormat/>
    <w:uiPriority w:val="99"/>
    <w:pPr>
      <w:ind w:firstLine="420"/>
    </w:pPr>
  </w:style>
  <w:style w:type="table" w:styleId="20">
    <w:name w:val="Table Grid"/>
    <w:basedOn w:val="19"/>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page number"/>
    <w:basedOn w:val="21"/>
    <w:autoRedefine/>
    <w:qFormat/>
    <w:uiPriority w:val="0"/>
  </w:style>
  <w:style w:type="character" w:styleId="23">
    <w:name w:val="Hyperlink"/>
    <w:autoRedefine/>
    <w:unhideWhenUsed/>
    <w:qFormat/>
    <w:uiPriority w:val="99"/>
    <w:rPr>
      <w:color w:val="0000FF"/>
      <w:u w:val="single"/>
    </w:rPr>
  </w:style>
  <w:style w:type="paragraph" w:styleId="24">
    <w:name w:val="List Paragraph"/>
    <w:basedOn w:val="1"/>
    <w:autoRedefine/>
    <w:qFormat/>
    <w:uiPriority w:val="34"/>
    <w:pPr>
      <w:ind w:left="1505" w:hanging="705"/>
    </w:pPr>
    <w:rPr>
      <w:rFonts w:eastAsia="宋体"/>
    </w:rPr>
  </w:style>
  <w:style w:type="table" w:customStyle="1" w:styleId="25">
    <w:name w:val="Table Normal"/>
    <w:autoRedefine/>
    <w:semiHidden/>
    <w:unhideWhenUsed/>
    <w:qFormat/>
    <w:uiPriority w:val="0"/>
    <w:tblPr>
      <w:tblCellMar>
        <w:top w:w="0" w:type="dxa"/>
        <w:left w:w="0" w:type="dxa"/>
        <w:bottom w:w="0" w:type="dxa"/>
        <w:right w:w="0" w:type="dxa"/>
      </w:tblCellMar>
    </w:tblPr>
  </w:style>
  <w:style w:type="paragraph" w:customStyle="1" w:styleId="26">
    <w:name w:val="正文（缩进）"/>
    <w:basedOn w:val="1"/>
    <w:next w:val="27"/>
    <w:autoRedefine/>
    <w:qFormat/>
    <w:uiPriority w:val="0"/>
    <w:pPr>
      <w:spacing w:line="360" w:lineRule="auto"/>
      <w:ind w:firstLine="200" w:firstLineChars="200"/>
    </w:pPr>
    <w:rPr>
      <w:rFonts w:ascii="宋体" w:hAnsi="宋体"/>
    </w:rPr>
  </w:style>
  <w:style w:type="paragraph" w:customStyle="1" w:styleId="27">
    <w:name w:val="Char Char Char Char Char Char Char Char Char"/>
    <w:basedOn w:val="1"/>
    <w:next w:val="28"/>
    <w:autoRedefine/>
    <w:qFormat/>
    <w:uiPriority w:val="99"/>
    <w:pPr>
      <w:ind w:left="360" w:firstLine="5784"/>
    </w:pPr>
  </w:style>
  <w:style w:type="paragraph" w:customStyle="1" w:styleId="28">
    <w:name w:val="正文文本 21"/>
    <w:basedOn w:val="1"/>
    <w:next w:val="29"/>
    <w:autoRedefine/>
    <w:qFormat/>
    <w:uiPriority w:val="99"/>
    <w:pPr>
      <w:ind w:left="720" w:firstLine="5680"/>
    </w:pPr>
  </w:style>
  <w:style w:type="paragraph" w:customStyle="1" w:styleId="29">
    <w:name w:val="默认段落字体 Para Char Char Char Char Char Char Char"/>
    <w:basedOn w:val="1"/>
    <w:next w:val="30"/>
    <w:autoRedefine/>
    <w:qFormat/>
    <w:uiPriority w:val="99"/>
    <w:pPr>
      <w:ind w:firstLine="200" w:firstLineChars="200"/>
    </w:pPr>
  </w:style>
  <w:style w:type="paragraph" w:customStyle="1" w:styleId="30">
    <w:name w:val="样式 首行缩进:  2 字符"/>
    <w:basedOn w:val="1"/>
    <w:next w:val="31"/>
    <w:autoRedefine/>
    <w:qFormat/>
    <w:uiPriority w:val="99"/>
    <w:pPr>
      <w:spacing w:line="360" w:lineRule="auto"/>
      <w:ind w:left="480" w:firstLine="5856"/>
    </w:pPr>
  </w:style>
  <w:style w:type="paragraph" w:customStyle="1" w:styleId="31">
    <w:name w:val="样式 段后: 0.25 行"/>
    <w:basedOn w:val="1"/>
    <w:next w:val="32"/>
    <w:autoRedefine/>
    <w:qFormat/>
    <w:uiPriority w:val="99"/>
    <w:pPr>
      <w:spacing w:line="300" w:lineRule="auto"/>
      <w:ind w:left="420" w:firstLine="5796"/>
    </w:pPr>
  </w:style>
  <w:style w:type="paragraph" w:customStyle="1" w:styleId="32">
    <w:name w:val="正文 New New New New New New New New New New New New New New"/>
    <w:next w:val="15"/>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3">
    <w:name w:val="表格标题"/>
    <w:basedOn w:val="1"/>
    <w:autoRedefine/>
    <w:qFormat/>
    <w:uiPriority w:val="0"/>
    <w:pPr>
      <w:spacing w:before="120"/>
      <w:ind w:firstLine="0"/>
      <w:jc w:val="center"/>
    </w:pPr>
    <w:rPr>
      <w:rFonts w:eastAsia="文鼎CS中宋"/>
      <w:sz w:val="24"/>
    </w:rPr>
  </w:style>
  <w:style w:type="paragraph" w:customStyle="1" w:styleId="34">
    <w:name w:val="Table Text"/>
    <w:basedOn w:val="1"/>
    <w:autoRedefine/>
    <w:semiHidden/>
    <w:qFormat/>
    <w:uiPriority w:val="0"/>
    <w:rPr>
      <w:rFonts w:ascii="宋体" w:hAnsi="宋体" w:eastAsia="宋体" w:cs="宋体"/>
      <w:sz w:val="21"/>
      <w:szCs w:val="21"/>
      <w:lang w:val="en-US" w:eastAsia="en-US" w:bidi="ar-SA"/>
    </w:rPr>
  </w:style>
  <w:style w:type="paragraph" w:customStyle="1" w:styleId="35">
    <w:name w:val="正文4"/>
    <w:basedOn w:val="1"/>
    <w:link w:val="39"/>
    <w:autoRedefine/>
    <w:qFormat/>
    <w:uiPriority w:val="0"/>
    <w:pPr>
      <w:spacing w:line="440" w:lineRule="exact"/>
    </w:pPr>
  </w:style>
  <w:style w:type="paragraph" w:customStyle="1" w:styleId="36">
    <w:name w:val="表后文"/>
    <w:basedOn w:val="1"/>
    <w:autoRedefine/>
    <w:qFormat/>
    <w:uiPriority w:val="0"/>
    <w:pPr>
      <w:spacing w:before="120"/>
    </w:pPr>
  </w:style>
  <w:style w:type="paragraph" w:customStyle="1" w:styleId="37">
    <w:name w:val="表头"/>
    <w:basedOn w:val="1"/>
    <w:autoRedefine/>
    <w:qFormat/>
    <w:uiPriority w:val="0"/>
    <w:pPr>
      <w:snapToGrid w:val="0"/>
      <w:spacing w:line="320" w:lineRule="atLeast"/>
      <w:ind w:firstLine="0"/>
      <w:jc w:val="center"/>
    </w:pPr>
    <w:rPr>
      <w:rFonts w:eastAsia="黑体"/>
      <w:spacing w:val="-10"/>
      <w:sz w:val="21"/>
    </w:rPr>
  </w:style>
  <w:style w:type="paragraph" w:customStyle="1" w:styleId="38">
    <w:name w:val="表蕊"/>
    <w:basedOn w:val="1"/>
    <w:autoRedefine/>
    <w:qFormat/>
    <w:uiPriority w:val="0"/>
    <w:pPr>
      <w:spacing w:line="320" w:lineRule="atLeast"/>
      <w:ind w:firstLine="0"/>
      <w:jc w:val="left"/>
    </w:pPr>
    <w:rPr>
      <w:spacing w:val="-10"/>
      <w:sz w:val="21"/>
    </w:rPr>
  </w:style>
  <w:style w:type="character" w:customStyle="1" w:styleId="39">
    <w:name w:val="正文4 Char"/>
    <w:link w:val="35"/>
    <w:autoRedefine/>
    <w:qFormat/>
    <w:locked/>
    <w:uiPriority w:val="0"/>
  </w:style>
  <w:style w:type="paragraph" w:customStyle="1" w:styleId="40">
    <w:name w:val="报告正文"/>
    <w:basedOn w:val="1"/>
    <w:autoRedefine/>
    <w:qFormat/>
    <w:uiPriority w:val="0"/>
    <w:pPr>
      <w:spacing w:line="500" w:lineRule="exact"/>
      <w:ind w:firstLine="560" w:firstLineChars="200"/>
      <w:jc w:val="left"/>
      <w:textAlignment w:val="auto"/>
    </w:pPr>
    <w:rPr>
      <w:rFonts w:ascii="宋体" w:hAnsi="宋体" w:eastAsia="宋体"/>
      <w:spacing w:val="0"/>
    </w:rPr>
  </w:style>
  <w:style w:type="paragraph" w:customStyle="1" w:styleId="41">
    <w:name w:val="0正文"/>
    <w:basedOn w:val="1"/>
    <w:autoRedefine/>
    <w:qFormat/>
    <w:uiPriority w:val="0"/>
    <w:pPr>
      <w:adjustRightInd w:val="0"/>
      <w:spacing w:line="360" w:lineRule="auto"/>
      <w:ind w:firstLine="480"/>
      <w:textAlignment w:val="baseline"/>
    </w:pPr>
    <w:rPr>
      <w:rFonts w:ascii="宋体" w:hAnsi="宋体" w:eastAsia="宋体"/>
      <w:color w:val="333333"/>
      <w:spacing w:val="0"/>
      <w:sz w:val="24"/>
      <w:szCs w:val="21"/>
    </w:rPr>
  </w:style>
  <w:style w:type="character" w:customStyle="1" w:styleId="42">
    <w:name w:val="font01"/>
    <w:basedOn w:val="21"/>
    <w:autoRedefine/>
    <w:qFormat/>
    <w:uiPriority w:val="0"/>
    <w:rPr>
      <w:rFonts w:hint="eastAsia" w:ascii="宋体" w:hAnsi="宋体" w:eastAsia="宋体" w:cs="宋体"/>
      <w:color w:val="000000"/>
      <w:sz w:val="24"/>
      <w:szCs w:val="24"/>
      <w:u w:val="none"/>
    </w:rPr>
  </w:style>
  <w:style w:type="character" w:customStyle="1" w:styleId="43">
    <w:name w:val="font11"/>
    <w:basedOn w:val="21"/>
    <w:autoRedefine/>
    <w:qFormat/>
    <w:uiPriority w:val="0"/>
    <w:rPr>
      <w:rFonts w:hint="default" w:ascii="Times New Roman" w:hAnsi="Times New Roman" w:cs="Times New Roman"/>
      <w:color w:val="000000"/>
      <w:sz w:val="24"/>
      <w:szCs w:val="24"/>
      <w:u w:val="none"/>
    </w:rPr>
  </w:style>
  <w:style w:type="character" w:customStyle="1" w:styleId="44">
    <w:name w:val="font31"/>
    <w:basedOn w:val="21"/>
    <w:autoRedefine/>
    <w:qFormat/>
    <w:uiPriority w:val="0"/>
    <w:rPr>
      <w:rFonts w:hint="default" w:ascii="Times New Roman" w:hAnsi="Times New Roman" w:cs="Times New Roman"/>
      <w:b/>
      <w:bCs/>
      <w:color w:val="000000"/>
      <w:sz w:val="24"/>
      <w:szCs w:val="24"/>
      <w:u w:val="none"/>
    </w:rPr>
  </w:style>
  <w:style w:type="character" w:customStyle="1" w:styleId="45">
    <w:name w:val="font21"/>
    <w:basedOn w:val="21"/>
    <w:autoRedefine/>
    <w:qFormat/>
    <w:uiPriority w:val="0"/>
    <w:rPr>
      <w:rFonts w:hint="eastAsia" w:ascii="宋体" w:hAnsi="宋体" w:eastAsia="宋体" w:cs="宋体"/>
      <w:b/>
      <w:bCs/>
      <w:color w:val="000000"/>
      <w:sz w:val="28"/>
      <w:szCs w:val="28"/>
      <w:u w:val="none"/>
    </w:rPr>
  </w:style>
  <w:style w:type="character" w:customStyle="1" w:styleId="46">
    <w:name w:val="font41"/>
    <w:basedOn w:val="21"/>
    <w:autoRedefine/>
    <w:qFormat/>
    <w:uiPriority w:val="0"/>
    <w:rPr>
      <w:rFonts w:hint="eastAsia" w:ascii="宋体" w:hAnsi="宋体" w:eastAsia="宋体" w:cs="宋体"/>
      <w:color w:val="000000"/>
      <w:sz w:val="24"/>
      <w:szCs w:val="24"/>
      <w:u w:val="none"/>
    </w:rPr>
  </w:style>
  <w:style w:type="character" w:customStyle="1" w:styleId="47">
    <w:name w:val="font61"/>
    <w:basedOn w:val="21"/>
    <w:autoRedefine/>
    <w:qFormat/>
    <w:uiPriority w:val="0"/>
    <w:rPr>
      <w:rFonts w:hint="default" w:ascii="Times New Roman" w:hAnsi="Times New Roman" w:cs="Times New Roman"/>
      <w:color w:val="000000"/>
      <w:sz w:val="24"/>
      <w:szCs w:val="24"/>
      <w:u w:val="none"/>
    </w:rPr>
  </w:style>
  <w:style w:type="character" w:customStyle="1" w:styleId="48">
    <w:name w:val="font51"/>
    <w:basedOn w:val="21"/>
    <w:autoRedefine/>
    <w:qFormat/>
    <w:uiPriority w:val="0"/>
    <w:rPr>
      <w:rFonts w:hint="eastAsia" w:ascii="宋体" w:hAnsi="宋体" w:eastAsia="宋体" w:cs="宋体"/>
      <w:color w:val="000000"/>
      <w:sz w:val="24"/>
      <w:szCs w:val="24"/>
      <w:u w:val="none"/>
    </w:rPr>
  </w:style>
  <w:style w:type="paragraph" w:customStyle="1" w:styleId="49">
    <w:name w:val="WPSOffice手动目录 1"/>
    <w:autoRedefine/>
    <w:qFormat/>
    <w:uiPriority w:val="0"/>
    <w:pPr>
      <w:ind w:leftChars="0"/>
    </w:pPr>
    <w:rPr>
      <w:rFonts w:ascii="Times New Roman" w:hAnsi="Times New Roman" w:eastAsia="宋体" w:cs="Times New Roman"/>
      <w:sz w:val="20"/>
      <w:szCs w:val="20"/>
    </w:rPr>
  </w:style>
  <w:style w:type="paragraph" w:customStyle="1" w:styleId="50">
    <w:name w:val="WPSOffice手动目录 2"/>
    <w:autoRedefine/>
    <w:qFormat/>
    <w:uiPriority w:val="0"/>
    <w:pPr>
      <w:ind w:leftChars="200"/>
    </w:pPr>
    <w:rPr>
      <w:rFonts w:ascii="Times New Roman" w:hAnsi="Times New Roman" w:eastAsia="宋体" w:cs="Times New Roman"/>
      <w:sz w:val="20"/>
      <w:szCs w:val="20"/>
    </w:rPr>
  </w:style>
  <w:style w:type="paragraph" w:customStyle="1" w:styleId="51">
    <w:name w:val="Default"/>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character" w:customStyle="1" w:styleId="52">
    <w:name w:val="标题 1 Char1"/>
    <w:link w:val="2"/>
    <w:autoRedefine/>
    <w:qFormat/>
    <w:uiPriority w:val="0"/>
    <w:rPr>
      <w:b/>
      <w:kern w:val="44"/>
      <w:sz w:val="44"/>
    </w:rPr>
  </w:style>
  <w:style w:type="character" w:customStyle="1" w:styleId="53">
    <w:name w:val="font81"/>
    <w:basedOn w:val="21"/>
    <w:qFormat/>
    <w:uiPriority w:val="0"/>
    <w:rPr>
      <w:rFonts w:hint="eastAsia" w:ascii="宋体" w:hAnsi="宋体" w:eastAsia="宋体" w:cs="宋体"/>
      <w:color w:val="000000"/>
      <w:sz w:val="22"/>
      <w:szCs w:val="22"/>
      <w:u w:val="none"/>
    </w:rPr>
  </w:style>
  <w:style w:type="character" w:customStyle="1" w:styleId="54">
    <w:name w:val="font91"/>
    <w:basedOn w:val="21"/>
    <w:qFormat/>
    <w:uiPriority w:val="0"/>
    <w:rPr>
      <w:rFonts w:hint="default" w:ascii="Times New Roman" w:hAnsi="Times New Roman" w:cs="Times New Roman"/>
      <w:color w:val="000000"/>
      <w:sz w:val="24"/>
      <w:szCs w:val="24"/>
      <w:u w:val="none"/>
    </w:rPr>
  </w:style>
  <w:style w:type="character" w:customStyle="1" w:styleId="55">
    <w:name w:val="font71"/>
    <w:basedOn w:val="21"/>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header" Target="header2.xml"/><Relationship Id="rId8" Type="http://schemas.openxmlformats.org/officeDocument/2006/relationships/footer" Target="footer3.xml"/><Relationship Id="rId7" Type="http://schemas.openxmlformats.org/officeDocument/2006/relationships/header" Target="header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32</Pages>
  <Words>29662</Words>
  <Characters>31385</Characters>
  <TotalTime>6</TotalTime>
  <ScaleCrop>false</ScaleCrop>
  <LinksUpToDate>false</LinksUpToDate>
  <CharactersWithSpaces>31567</CharactersWithSpaces>
  <Application>WPS Office_12.1.0.17147_F1E327BC-269C-435d-A152-05C5408002CA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2023-04-07T10:59:00Z</dcterms:created>
  <dc:creator>Administrator</dc:creator>
  <cp:lastModifiedBy>张旭</cp:lastModifiedBy>
  <cp:lastPrinted>2025-09-01T08:15:00Z</cp:lastPrinted>
  <dcterms:modified xsi:type="dcterms:W3CDTF">2025-11-06T02:13:19Z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wqlLaW5nc29mdCBQREYgdG8gV1BTIDgw</vt:lpwstr>
  </property>
  <property fmtid="{D5CDD505-2E9C-101B-9397-08002B2CF9AE}" pid="3" name="Created">
    <vt:filetime>2023-05-17T10:21:17Z</vt:filetime>
  </property>
  <property fmtid="{D5CDD505-2E9C-101B-9397-08002B2CF9AE}" pid="4" name="KSOProductBuildVer">
    <vt:lpwstr>2052-12.1.0.17147</vt:lpwstr>
  </property>
  <property fmtid="{D5CDD505-2E9C-101B-9397-08002B2CF9AE}" pid="5" name="ICV">
    <vt:lpwstr>CDAE1F0EB405481EB4B01B31A34A714F_13</vt:lpwstr>
  </property>
  <property fmtid="{D5CDD505-2E9C-101B-9397-08002B2CF9AE}" pid="6" name="KSOTemplateDocerSaveRecord">
    <vt:lpwstr>eyJoZGlkIjoiMDljODFkNDBmMmUwYzUwMjJjNGI3MmVjY2M5YWQxMjUiLCJ1c2VySWQiOiIzMTg1NjU4MTEifQ==</vt:lpwstr>
  </property>
</Properties>
</file>